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469" w:rsidRDefault="00722CE8" w:rsidP="00946AA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w:t>
      </w:r>
      <w:r w:rsidR="000742D8">
        <w:rPr>
          <w:rFonts w:ascii="Times New Roman" w:hAnsi="Times New Roman" w:cs="Times New Roman"/>
          <w:b/>
          <w:sz w:val="36"/>
          <w:szCs w:val="36"/>
        </w:rPr>
        <w:t>б</w:t>
      </w:r>
      <w:r w:rsidR="00946AA1" w:rsidRPr="00071469">
        <w:rPr>
          <w:rFonts w:ascii="Times New Roman" w:hAnsi="Times New Roman" w:cs="Times New Roman"/>
          <w:b/>
          <w:sz w:val="36"/>
          <w:szCs w:val="36"/>
        </w:rPr>
        <w:t xml:space="preserve"> итогах работы инспекции за 2021 год </w:t>
      </w:r>
    </w:p>
    <w:p w:rsidR="00946AA1" w:rsidRPr="00071469" w:rsidRDefault="00946AA1" w:rsidP="00946AA1">
      <w:pPr>
        <w:spacing w:after="0" w:line="240" w:lineRule="auto"/>
        <w:jc w:val="center"/>
        <w:rPr>
          <w:rFonts w:ascii="Times New Roman" w:hAnsi="Times New Roman" w:cs="Times New Roman"/>
          <w:b/>
          <w:sz w:val="36"/>
          <w:szCs w:val="36"/>
        </w:rPr>
      </w:pPr>
      <w:r w:rsidRPr="00071469">
        <w:rPr>
          <w:rFonts w:ascii="Times New Roman" w:hAnsi="Times New Roman" w:cs="Times New Roman"/>
          <w:b/>
          <w:sz w:val="36"/>
          <w:szCs w:val="36"/>
        </w:rPr>
        <w:t>и задачах на 2022г.</w:t>
      </w:r>
    </w:p>
    <w:p w:rsidR="00975CCB" w:rsidRDefault="00975CCB" w:rsidP="00946AA1">
      <w:pPr>
        <w:spacing w:after="0" w:line="240" w:lineRule="auto"/>
        <w:jc w:val="both"/>
        <w:rPr>
          <w:rFonts w:ascii="Times New Roman" w:hAnsi="Times New Roman" w:cs="Times New Roman"/>
          <w:sz w:val="36"/>
          <w:szCs w:val="36"/>
        </w:rPr>
      </w:pPr>
    </w:p>
    <w:p w:rsidR="00100BAC" w:rsidRPr="00100BAC" w:rsidRDefault="00722CE8" w:rsidP="00100BA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 кадровой </w:t>
      </w:r>
      <w:r w:rsidR="000742D8">
        <w:rPr>
          <w:rFonts w:ascii="Times New Roman" w:hAnsi="Times New Roman" w:cs="Times New Roman"/>
          <w:b/>
          <w:sz w:val="36"/>
          <w:szCs w:val="36"/>
        </w:rPr>
        <w:t>работе.</w:t>
      </w:r>
    </w:p>
    <w:p w:rsidR="00100BAC" w:rsidRPr="00100BAC" w:rsidRDefault="00100BAC" w:rsidP="00100BAC">
      <w:pPr>
        <w:spacing w:after="0" w:line="240" w:lineRule="auto"/>
        <w:ind w:firstLine="708"/>
        <w:jc w:val="both"/>
        <w:rPr>
          <w:rFonts w:ascii="Times New Roman" w:hAnsi="Times New Roman" w:cs="Times New Roman"/>
          <w:sz w:val="36"/>
          <w:szCs w:val="36"/>
        </w:rPr>
      </w:pPr>
      <w:r w:rsidRPr="00100BAC">
        <w:rPr>
          <w:rFonts w:ascii="Times New Roman" w:hAnsi="Times New Roman" w:cs="Times New Roman"/>
          <w:sz w:val="36"/>
          <w:szCs w:val="36"/>
        </w:rPr>
        <w:t>За 2021 год в инспекции произошли следующие кадровые назначения:</w:t>
      </w:r>
    </w:p>
    <w:p w:rsidR="00100BAC" w:rsidRPr="00100BAC" w:rsidRDefault="00100BAC" w:rsidP="00100BAC">
      <w:pPr>
        <w:spacing w:after="0" w:line="240" w:lineRule="auto"/>
        <w:jc w:val="both"/>
        <w:rPr>
          <w:rFonts w:ascii="Times New Roman" w:hAnsi="Times New Roman" w:cs="Times New Roman"/>
          <w:sz w:val="36"/>
          <w:szCs w:val="36"/>
        </w:rPr>
      </w:pPr>
      <w:r>
        <w:rPr>
          <w:rFonts w:ascii="Times New Roman" w:hAnsi="Times New Roman" w:cs="Times New Roman"/>
          <w:sz w:val="36"/>
          <w:szCs w:val="36"/>
        </w:rPr>
        <w:tab/>
        <w:t>-</w:t>
      </w:r>
      <w:r w:rsidRPr="00100BAC">
        <w:rPr>
          <w:rFonts w:ascii="Times New Roman" w:hAnsi="Times New Roman" w:cs="Times New Roman"/>
          <w:sz w:val="36"/>
          <w:szCs w:val="36"/>
        </w:rPr>
        <w:t>5 новых сотрудников назначены по результатам конкурсов;</w:t>
      </w:r>
    </w:p>
    <w:p w:rsidR="00100BAC" w:rsidRPr="00100BAC" w:rsidRDefault="00100BAC" w:rsidP="00100BAC">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w:t>
      </w:r>
      <w:r w:rsidRPr="00100BAC">
        <w:rPr>
          <w:rFonts w:ascii="Times New Roman" w:hAnsi="Times New Roman" w:cs="Times New Roman"/>
          <w:sz w:val="36"/>
          <w:szCs w:val="36"/>
        </w:rPr>
        <w:t>2 сотрудника переведены с должности старшего на главного госинспектора;</w:t>
      </w:r>
    </w:p>
    <w:p w:rsidR="00100BAC" w:rsidRPr="00100BAC" w:rsidRDefault="00100BAC" w:rsidP="00100BAC">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w:t>
      </w:r>
      <w:r w:rsidRPr="00100BAC">
        <w:rPr>
          <w:rFonts w:ascii="Times New Roman" w:hAnsi="Times New Roman" w:cs="Times New Roman"/>
          <w:sz w:val="36"/>
          <w:szCs w:val="36"/>
        </w:rPr>
        <w:t>1 сотрудник назначен на госслужбу;</w:t>
      </w:r>
    </w:p>
    <w:p w:rsidR="00100BAC" w:rsidRPr="00100BAC" w:rsidRDefault="00100BAC" w:rsidP="00100BAC">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w:t>
      </w:r>
      <w:r w:rsidRPr="00100BAC">
        <w:rPr>
          <w:rFonts w:ascii="Times New Roman" w:hAnsi="Times New Roman" w:cs="Times New Roman"/>
          <w:sz w:val="36"/>
          <w:szCs w:val="36"/>
        </w:rPr>
        <w:t>1 сотрудник назначен по срочному контракту на время отсутствия основного работника;</w:t>
      </w:r>
    </w:p>
    <w:p w:rsidR="00100BAC" w:rsidRPr="00100BAC" w:rsidRDefault="00100BAC" w:rsidP="00100BAC">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w:t>
      </w:r>
      <w:r w:rsidRPr="00100BAC">
        <w:rPr>
          <w:rFonts w:ascii="Times New Roman" w:hAnsi="Times New Roman" w:cs="Times New Roman"/>
          <w:sz w:val="36"/>
          <w:szCs w:val="36"/>
        </w:rPr>
        <w:t>2 назначения по трудовому договору на должности работников.</w:t>
      </w:r>
    </w:p>
    <w:p w:rsidR="00100BAC" w:rsidRPr="00100BAC" w:rsidRDefault="00100BAC" w:rsidP="00100BAC">
      <w:pPr>
        <w:spacing w:after="0" w:line="240" w:lineRule="auto"/>
        <w:ind w:firstLine="708"/>
        <w:jc w:val="both"/>
        <w:rPr>
          <w:rFonts w:ascii="Times New Roman" w:hAnsi="Times New Roman" w:cs="Times New Roman"/>
          <w:sz w:val="36"/>
          <w:szCs w:val="36"/>
        </w:rPr>
      </w:pPr>
      <w:r w:rsidRPr="00100BAC">
        <w:rPr>
          <w:rFonts w:ascii="Times New Roman" w:hAnsi="Times New Roman" w:cs="Times New Roman"/>
          <w:sz w:val="36"/>
          <w:szCs w:val="36"/>
        </w:rPr>
        <w:t xml:space="preserve">За прошедший год </w:t>
      </w:r>
      <w:r w:rsidRPr="00100BAC">
        <w:rPr>
          <w:rFonts w:ascii="Times New Roman" w:hAnsi="Times New Roman" w:cs="Times New Roman"/>
          <w:b/>
          <w:sz w:val="36"/>
          <w:szCs w:val="36"/>
        </w:rPr>
        <w:t>уволено 2 человека</w:t>
      </w:r>
      <w:r w:rsidRPr="00100BAC">
        <w:rPr>
          <w:rFonts w:ascii="Times New Roman" w:hAnsi="Times New Roman" w:cs="Times New Roman"/>
          <w:sz w:val="36"/>
          <w:szCs w:val="36"/>
        </w:rPr>
        <w:t>, из них:</w:t>
      </w:r>
    </w:p>
    <w:p w:rsidR="00100BAC" w:rsidRPr="00100BAC" w:rsidRDefault="00100BAC" w:rsidP="00100BAC">
      <w:pPr>
        <w:spacing w:after="0" w:line="240" w:lineRule="auto"/>
        <w:jc w:val="both"/>
        <w:rPr>
          <w:rFonts w:ascii="Times New Roman" w:hAnsi="Times New Roman" w:cs="Times New Roman"/>
          <w:sz w:val="36"/>
          <w:szCs w:val="36"/>
        </w:rPr>
      </w:pPr>
      <w:r w:rsidRPr="00100BAC">
        <w:rPr>
          <w:rFonts w:ascii="Times New Roman" w:hAnsi="Times New Roman" w:cs="Times New Roman"/>
          <w:sz w:val="36"/>
          <w:szCs w:val="36"/>
        </w:rPr>
        <w:t xml:space="preserve">- один работник по собственной инициативе в связи со сменой </w:t>
      </w:r>
      <w:r w:rsidR="00515A34">
        <w:rPr>
          <w:rFonts w:ascii="Times New Roman" w:hAnsi="Times New Roman" w:cs="Times New Roman"/>
          <w:sz w:val="36"/>
          <w:szCs w:val="36"/>
        </w:rPr>
        <w:t>места жительства</w:t>
      </w:r>
      <w:r w:rsidRPr="00100BAC">
        <w:rPr>
          <w:rFonts w:ascii="Times New Roman" w:hAnsi="Times New Roman" w:cs="Times New Roman"/>
          <w:sz w:val="36"/>
          <w:szCs w:val="36"/>
        </w:rPr>
        <w:t>;</w:t>
      </w:r>
    </w:p>
    <w:p w:rsidR="00100BAC" w:rsidRPr="00100BAC" w:rsidRDefault="00100BAC" w:rsidP="00100BAC">
      <w:pPr>
        <w:spacing w:after="0" w:line="240" w:lineRule="auto"/>
        <w:jc w:val="both"/>
        <w:rPr>
          <w:rFonts w:ascii="Times New Roman" w:hAnsi="Times New Roman" w:cs="Times New Roman"/>
          <w:sz w:val="36"/>
          <w:szCs w:val="36"/>
        </w:rPr>
      </w:pPr>
      <w:r w:rsidRPr="00100BAC">
        <w:rPr>
          <w:rFonts w:ascii="Times New Roman" w:hAnsi="Times New Roman" w:cs="Times New Roman"/>
          <w:sz w:val="36"/>
          <w:szCs w:val="36"/>
        </w:rPr>
        <w:t>- один госслужащий в связи с истечением срока действия срочного служебного контракт</w:t>
      </w:r>
      <w:r>
        <w:rPr>
          <w:rFonts w:ascii="Times New Roman" w:hAnsi="Times New Roman" w:cs="Times New Roman"/>
          <w:sz w:val="36"/>
          <w:szCs w:val="36"/>
        </w:rPr>
        <w:t>а</w:t>
      </w:r>
      <w:r w:rsidRPr="00100BAC">
        <w:rPr>
          <w:rFonts w:ascii="Times New Roman" w:hAnsi="Times New Roman" w:cs="Times New Roman"/>
          <w:sz w:val="36"/>
          <w:szCs w:val="36"/>
        </w:rPr>
        <w:t>.</w:t>
      </w:r>
    </w:p>
    <w:p w:rsidR="00100BAC" w:rsidRPr="00100BAC" w:rsidRDefault="00100BAC" w:rsidP="00100BAC">
      <w:pPr>
        <w:spacing w:after="0" w:line="240" w:lineRule="auto"/>
        <w:ind w:firstLine="708"/>
        <w:jc w:val="both"/>
        <w:rPr>
          <w:rFonts w:ascii="Times New Roman" w:hAnsi="Times New Roman" w:cs="Times New Roman"/>
          <w:sz w:val="36"/>
          <w:szCs w:val="36"/>
        </w:rPr>
      </w:pPr>
      <w:r w:rsidRPr="00100BAC">
        <w:rPr>
          <w:rFonts w:ascii="Times New Roman" w:hAnsi="Times New Roman" w:cs="Times New Roman"/>
          <w:sz w:val="36"/>
          <w:szCs w:val="36"/>
        </w:rPr>
        <w:t xml:space="preserve">В 2021 году 10 госслужащих инспекции прошли аттестацию в администрации Губернатора Новосибирской области и </w:t>
      </w:r>
      <w:r>
        <w:rPr>
          <w:rFonts w:ascii="Times New Roman" w:hAnsi="Times New Roman" w:cs="Times New Roman"/>
          <w:sz w:val="36"/>
          <w:szCs w:val="36"/>
        </w:rPr>
        <w:t>Правительства</w:t>
      </w:r>
      <w:r w:rsidRPr="00100BAC">
        <w:rPr>
          <w:rFonts w:ascii="Times New Roman" w:hAnsi="Times New Roman" w:cs="Times New Roman"/>
          <w:sz w:val="36"/>
          <w:szCs w:val="36"/>
        </w:rPr>
        <w:t xml:space="preserve">. Все государственные гражданские служащие соответствуют замещаемой должности, 1 сотрудник включен в кадровый резерв инспекции. В 2022 году подлежит аттестации 4 сотрудника. </w:t>
      </w:r>
    </w:p>
    <w:p w:rsidR="00100BAC" w:rsidRPr="00100BAC" w:rsidRDefault="00100BAC" w:rsidP="000A0E84">
      <w:pPr>
        <w:spacing w:after="0" w:line="240" w:lineRule="auto"/>
        <w:ind w:firstLine="708"/>
        <w:jc w:val="both"/>
        <w:rPr>
          <w:rFonts w:ascii="Times New Roman" w:hAnsi="Times New Roman" w:cs="Times New Roman"/>
          <w:sz w:val="36"/>
          <w:szCs w:val="36"/>
        </w:rPr>
      </w:pPr>
      <w:r w:rsidRPr="00100BAC">
        <w:rPr>
          <w:rFonts w:ascii="Times New Roman" w:hAnsi="Times New Roman" w:cs="Times New Roman"/>
          <w:sz w:val="36"/>
          <w:szCs w:val="36"/>
        </w:rPr>
        <w:t xml:space="preserve">В целях замещения вакантных должностей государственной службы было проведено </w:t>
      </w:r>
      <w:r w:rsidRPr="00100BAC">
        <w:rPr>
          <w:rFonts w:ascii="Times New Roman" w:hAnsi="Times New Roman" w:cs="Times New Roman"/>
          <w:b/>
          <w:sz w:val="36"/>
          <w:szCs w:val="36"/>
        </w:rPr>
        <w:t>3 конкурса</w:t>
      </w:r>
      <w:r w:rsidRPr="00100BAC">
        <w:rPr>
          <w:rFonts w:ascii="Times New Roman" w:hAnsi="Times New Roman" w:cs="Times New Roman"/>
          <w:sz w:val="36"/>
          <w:szCs w:val="36"/>
        </w:rPr>
        <w:t xml:space="preserve"> на замещение вакантной ставки госслужбы и на включение в кадровый резерв. </w:t>
      </w:r>
      <w:r w:rsidRPr="00100BAC">
        <w:rPr>
          <w:rFonts w:ascii="Times New Roman" w:hAnsi="Times New Roman" w:cs="Times New Roman"/>
          <w:b/>
          <w:sz w:val="36"/>
          <w:szCs w:val="36"/>
        </w:rPr>
        <w:t xml:space="preserve">4 человека зачислены в кадровый резерв </w:t>
      </w:r>
      <w:r w:rsidRPr="00100BAC">
        <w:rPr>
          <w:rFonts w:ascii="Times New Roman" w:hAnsi="Times New Roman" w:cs="Times New Roman"/>
          <w:sz w:val="36"/>
          <w:szCs w:val="36"/>
        </w:rPr>
        <w:t>инспекции по результатам конкурсных процедур. В декабре 2021 года был объявлен конкурс на вакантную должность старшего госинспектора</w:t>
      </w:r>
      <w:r>
        <w:rPr>
          <w:rFonts w:ascii="Times New Roman" w:hAnsi="Times New Roman" w:cs="Times New Roman"/>
          <w:sz w:val="36"/>
          <w:szCs w:val="36"/>
        </w:rPr>
        <w:t xml:space="preserve"> (системного администратора).</w:t>
      </w:r>
    </w:p>
    <w:p w:rsidR="00100BAC" w:rsidRPr="00100BAC" w:rsidRDefault="00100BAC" w:rsidP="00100BAC">
      <w:pPr>
        <w:spacing w:after="0" w:line="240" w:lineRule="auto"/>
        <w:ind w:firstLine="708"/>
        <w:jc w:val="both"/>
        <w:rPr>
          <w:rFonts w:ascii="Times New Roman" w:hAnsi="Times New Roman" w:cs="Times New Roman"/>
          <w:sz w:val="36"/>
          <w:szCs w:val="36"/>
        </w:rPr>
      </w:pPr>
      <w:r w:rsidRPr="00100BAC">
        <w:rPr>
          <w:rFonts w:ascii="Times New Roman" w:hAnsi="Times New Roman" w:cs="Times New Roman"/>
          <w:sz w:val="36"/>
          <w:szCs w:val="36"/>
        </w:rPr>
        <w:t xml:space="preserve">В прошлом году </w:t>
      </w:r>
      <w:r w:rsidR="00385E9E">
        <w:rPr>
          <w:rFonts w:ascii="Times New Roman" w:hAnsi="Times New Roman" w:cs="Times New Roman"/>
          <w:b/>
          <w:sz w:val="36"/>
          <w:szCs w:val="36"/>
        </w:rPr>
        <w:t>десяти</w:t>
      </w:r>
      <w:r w:rsidRPr="001F67E2">
        <w:rPr>
          <w:rFonts w:ascii="Times New Roman" w:hAnsi="Times New Roman" w:cs="Times New Roman"/>
          <w:b/>
          <w:sz w:val="36"/>
          <w:szCs w:val="36"/>
        </w:rPr>
        <w:t xml:space="preserve"> гражданским служащим были присвоены классные чины: </w:t>
      </w:r>
      <w:r w:rsidRPr="00100BAC">
        <w:rPr>
          <w:rFonts w:ascii="Times New Roman" w:hAnsi="Times New Roman" w:cs="Times New Roman"/>
          <w:sz w:val="36"/>
          <w:szCs w:val="36"/>
        </w:rPr>
        <w:t>6 впервые принятым на государственную службу и 4 сотрудникам очередные.</w:t>
      </w:r>
    </w:p>
    <w:p w:rsidR="00100BAC" w:rsidRPr="00100BAC" w:rsidRDefault="00100BAC" w:rsidP="001F67E2">
      <w:pPr>
        <w:spacing w:after="0" w:line="240" w:lineRule="auto"/>
        <w:ind w:firstLine="708"/>
        <w:jc w:val="both"/>
        <w:rPr>
          <w:rFonts w:ascii="Times New Roman" w:hAnsi="Times New Roman" w:cs="Times New Roman"/>
          <w:sz w:val="36"/>
          <w:szCs w:val="36"/>
        </w:rPr>
      </w:pPr>
      <w:r w:rsidRPr="001F67E2">
        <w:rPr>
          <w:rFonts w:ascii="Times New Roman" w:hAnsi="Times New Roman" w:cs="Times New Roman"/>
          <w:b/>
          <w:sz w:val="36"/>
          <w:szCs w:val="36"/>
        </w:rPr>
        <w:t>За 2021</w:t>
      </w:r>
      <w:r w:rsidRPr="00100BAC">
        <w:rPr>
          <w:rFonts w:ascii="Times New Roman" w:hAnsi="Times New Roman" w:cs="Times New Roman"/>
          <w:sz w:val="36"/>
          <w:szCs w:val="36"/>
        </w:rPr>
        <w:t xml:space="preserve"> год </w:t>
      </w:r>
      <w:r w:rsidRPr="001F67E2">
        <w:rPr>
          <w:rFonts w:ascii="Times New Roman" w:hAnsi="Times New Roman" w:cs="Times New Roman"/>
          <w:b/>
          <w:sz w:val="36"/>
          <w:szCs w:val="36"/>
        </w:rPr>
        <w:t>45 государственных служащих и 2 работника</w:t>
      </w:r>
      <w:r w:rsidRPr="00100BAC">
        <w:rPr>
          <w:rFonts w:ascii="Times New Roman" w:hAnsi="Times New Roman" w:cs="Times New Roman"/>
          <w:sz w:val="36"/>
          <w:szCs w:val="36"/>
        </w:rPr>
        <w:t xml:space="preserve"> приняли участие в общей сложности в </w:t>
      </w:r>
      <w:r w:rsidRPr="001F67E2">
        <w:rPr>
          <w:rFonts w:ascii="Times New Roman" w:hAnsi="Times New Roman" w:cs="Times New Roman"/>
          <w:b/>
          <w:sz w:val="36"/>
          <w:szCs w:val="36"/>
        </w:rPr>
        <w:t xml:space="preserve">152 мероприятиях по профессиональному развитию, </w:t>
      </w:r>
      <w:r w:rsidRPr="00100BAC">
        <w:rPr>
          <w:rFonts w:ascii="Times New Roman" w:hAnsi="Times New Roman" w:cs="Times New Roman"/>
          <w:sz w:val="36"/>
          <w:szCs w:val="36"/>
        </w:rPr>
        <w:t>среди которых программы повышения квалификации, различные вебинары, тренинги, онлайн-</w:t>
      </w:r>
      <w:r w:rsidRPr="00100BAC">
        <w:rPr>
          <w:rFonts w:ascii="Times New Roman" w:hAnsi="Times New Roman" w:cs="Times New Roman"/>
          <w:sz w:val="36"/>
          <w:szCs w:val="36"/>
        </w:rPr>
        <w:lastRenderedPageBreak/>
        <w:t xml:space="preserve">семинары и иные мероприятия, направленные преимущественно на ускоренное приобретение гражданскими служащими новых знаний и умений. </w:t>
      </w:r>
    </w:p>
    <w:p w:rsidR="000A0E84" w:rsidRPr="00100BAC" w:rsidRDefault="000A0E84" w:rsidP="00FF1681">
      <w:pPr>
        <w:spacing w:after="0" w:line="240" w:lineRule="auto"/>
        <w:ind w:firstLine="708"/>
        <w:jc w:val="both"/>
        <w:rPr>
          <w:rFonts w:ascii="Times New Roman" w:hAnsi="Times New Roman" w:cs="Times New Roman"/>
          <w:sz w:val="36"/>
          <w:szCs w:val="36"/>
        </w:rPr>
      </w:pPr>
    </w:p>
    <w:p w:rsidR="00F40DDD" w:rsidRDefault="00F40DDD" w:rsidP="001469D9">
      <w:pPr>
        <w:spacing w:after="0" w:line="240" w:lineRule="auto"/>
        <w:jc w:val="center"/>
        <w:rPr>
          <w:rFonts w:ascii="Times New Roman" w:hAnsi="Times New Roman" w:cs="Times New Roman"/>
          <w:b/>
          <w:sz w:val="36"/>
          <w:szCs w:val="36"/>
        </w:rPr>
      </w:pPr>
      <w:r w:rsidRPr="00F40DDD">
        <w:rPr>
          <w:rFonts w:ascii="Times New Roman" w:hAnsi="Times New Roman" w:cs="Times New Roman"/>
          <w:b/>
          <w:sz w:val="36"/>
          <w:szCs w:val="36"/>
        </w:rPr>
        <w:t>О зарегистрирован</w:t>
      </w:r>
      <w:r w:rsidR="00515A34">
        <w:rPr>
          <w:rFonts w:ascii="Times New Roman" w:hAnsi="Times New Roman" w:cs="Times New Roman"/>
          <w:b/>
          <w:sz w:val="36"/>
          <w:szCs w:val="36"/>
        </w:rPr>
        <w:t>ной самоходной технике.</w:t>
      </w:r>
    </w:p>
    <w:p w:rsidR="000742D8" w:rsidRPr="00F40DDD" w:rsidRDefault="000742D8" w:rsidP="001469D9">
      <w:pPr>
        <w:spacing w:after="0" w:line="240" w:lineRule="auto"/>
        <w:jc w:val="center"/>
        <w:rPr>
          <w:rFonts w:ascii="Times New Roman" w:hAnsi="Times New Roman" w:cs="Times New Roman"/>
          <w:b/>
          <w:sz w:val="36"/>
          <w:szCs w:val="36"/>
        </w:rPr>
      </w:pPr>
    </w:p>
    <w:p w:rsidR="00F40DDD" w:rsidRPr="00F40DDD" w:rsidRDefault="000742D8" w:rsidP="00F40DDD">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drawing>
          <wp:inline distT="0" distB="0" distL="0" distR="0" wp14:anchorId="78C08879" wp14:editId="3B76BAA4">
            <wp:extent cx="6893169" cy="4149970"/>
            <wp:effectExtent l="0" t="0" r="3175"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40DDD" w:rsidRPr="00F40DDD" w:rsidRDefault="00515A34" w:rsidP="00975CCB">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Н</w:t>
      </w:r>
      <w:r w:rsidR="00F40DDD" w:rsidRPr="00F40DDD">
        <w:rPr>
          <w:rFonts w:ascii="Times New Roman" w:hAnsi="Times New Roman" w:cs="Times New Roman"/>
          <w:sz w:val="36"/>
          <w:szCs w:val="36"/>
        </w:rPr>
        <w:t xml:space="preserve">а 1 января </w:t>
      </w:r>
      <w:r w:rsidR="001469D9">
        <w:rPr>
          <w:rFonts w:ascii="Times New Roman" w:hAnsi="Times New Roman" w:cs="Times New Roman"/>
          <w:sz w:val="36"/>
          <w:szCs w:val="36"/>
        </w:rPr>
        <w:t>текущего г</w:t>
      </w:r>
      <w:r w:rsidR="00F40DDD" w:rsidRPr="00F40DDD">
        <w:rPr>
          <w:rFonts w:ascii="Times New Roman" w:hAnsi="Times New Roman" w:cs="Times New Roman"/>
          <w:sz w:val="36"/>
          <w:szCs w:val="36"/>
        </w:rPr>
        <w:t>ода на территории региона зарегистрировано 60719 единиц различной самоходной техники, за прошедший год количество регистрированных действий достигло 7180, поставлено на учёт 5738 единиц техники, это выше уровня прошлого года на 20,1%</w:t>
      </w:r>
      <w:r>
        <w:rPr>
          <w:rFonts w:ascii="Times New Roman" w:hAnsi="Times New Roman" w:cs="Times New Roman"/>
          <w:sz w:val="36"/>
          <w:szCs w:val="36"/>
        </w:rPr>
        <w:t>,</w:t>
      </w:r>
      <w:r w:rsidR="00F40DDD" w:rsidRPr="00F40DDD">
        <w:rPr>
          <w:rFonts w:ascii="Times New Roman" w:hAnsi="Times New Roman" w:cs="Times New Roman"/>
          <w:sz w:val="36"/>
          <w:szCs w:val="36"/>
        </w:rPr>
        <w:t xml:space="preserve"> </w:t>
      </w:r>
      <w:r w:rsidR="000742D8" w:rsidRPr="00F40DDD">
        <w:rPr>
          <w:rFonts w:ascii="Times New Roman" w:hAnsi="Times New Roman" w:cs="Times New Roman"/>
          <w:sz w:val="36"/>
          <w:szCs w:val="36"/>
        </w:rPr>
        <w:t>среднегодовое</w:t>
      </w:r>
      <w:r w:rsidR="00F40DDD" w:rsidRPr="00F40DDD">
        <w:rPr>
          <w:rFonts w:ascii="Times New Roman" w:hAnsi="Times New Roman" w:cs="Times New Roman"/>
          <w:sz w:val="36"/>
          <w:szCs w:val="36"/>
        </w:rPr>
        <w:t xml:space="preserve"> </w:t>
      </w:r>
      <w:r w:rsidR="004B4520">
        <w:rPr>
          <w:rFonts w:ascii="Times New Roman" w:hAnsi="Times New Roman" w:cs="Times New Roman"/>
          <w:sz w:val="36"/>
          <w:szCs w:val="36"/>
        </w:rPr>
        <w:t>прибавление за последние 5 лет,</w:t>
      </w:r>
      <w:r w:rsidR="00F40DDD" w:rsidRPr="00F40DDD">
        <w:rPr>
          <w:rFonts w:ascii="Times New Roman" w:hAnsi="Times New Roman" w:cs="Times New Roman"/>
          <w:sz w:val="36"/>
          <w:szCs w:val="36"/>
        </w:rPr>
        <w:t xml:space="preserve"> в среднем составляло не более</w:t>
      </w:r>
      <w:r w:rsidR="00F40DDD">
        <w:rPr>
          <w:rFonts w:ascii="Times New Roman" w:hAnsi="Times New Roman" w:cs="Times New Roman"/>
          <w:sz w:val="36"/>
          <w:szCs w:val="36"/>
        </w:rPr>
        <w:t xml:space="preserve"> 10%.</w:t>
      </w:r>
    </w:p>
    <w:p w:rsidR="00F40DDD" w:rsidRPr="00F40DDD" w:rsidRDefault="00F40DDD" w:rsidP="00071469">
      <w:pPr>
        <w:spacing w:after="0" w:line="240" w:lineRule="auto"/>
        <w:ind w:firstLine="708"/>
        <w:jc w:val="both"/>
        <w:rPr>
          <w:rFonts w:ascii="Times New Roman" w:hAnsi="Times New Roman" w:cs="Times New Roman"/>
          <w:sz w:val="36"/>
          <w:szCs w:val="36"/>
        </w:rPr>
      </w:pPr>
      <w:r w:rsidRPr="00F40DDD">
        <w:rPr>
          <w:rFonts w:ascii="Times New Roman" w:hAnsi="Times New Roman" w:cs="Times New Roman"/>
          <w:sz w:val="36"/>
          <w:szCs w:val="36"/>
        </w:rPr>
        <w:t>В пятёрке лидеров по приросту зарегистрированной тех</w:t>
      </w:r>
      <w:r>
        <w:rPr>
          <w:rFonts w:ascii="Times New Roman" w:hAnsi="Times New Roman" w:cs="Times New Roman"/>
          <w:sz w:val="36"/>
          <w:szCs w:val="36"/>
        </w:rPr>
        <w:t xml:space="preserve">ники остаются те же </w:t>
      </w:r>
      <w:r w:rsidRPr="00F40DDD">
        <w:rPr>
          <w:rFonts w:ascii="Times New Roman" w:hAnsi="Times New Roman" w:cs="Times New Roman"/>
          <w:sz w:val="36"/>
          <w:szCs w:val="36"/>
        </w:rPr>
        <w:t xml:space="preserve">районы, что и в прошлом году: Новосибирский, </w:t>
      </w:r>
      <w:proofErr w:type="spellStart"/>
      <w:r w:rsidRPr="00F40DDD">
        <w:rPr>
          <w:rFonts w:ascii="Times New Roman" w:hAnsi="Times New Roman" w:cs="Times New Roman"/>
          <w:sz w:val="36"/>
          <w:szCs w:val="36"/>
        </w:rPr>
        <w:t>Искитимский</w:t>
      </w:r>
      <w:proofErr w:type="spellEnd"/>
      <w:r w:rsidRPr="00F40DDD">
        <w:rPr>
          <w:rFonts w:ascii="Times New Roman" w:hAnsi="Times New Roman" w:cs="Times New Roman"/>
          <w:sz w:val="36"/>
          <w:szCs w:val="36"/>
        </w:rPr>
        <w:t xml:space="preserve">, Тогучинский, </w:t>
      </w:r>
      <w:proofErr w:type="spellStart"/>
      <w:r w:rsidRPr="00F40DDD">
        <w:rPr>
          <w:rFonts w:ascii="Times New Roman" w:hAnsi="Times New Roman" w:cs="Times New Roman"/>
          <w:sz w:val="36"/>
          <w:szCs w:val="36"/>
        </w:rPr>
        <w:t>Коченёвский</w:t>
      </w:r>
      <w:proofErr w:type="spellEnd"/>
      <w:r w:rsidRPr="00F40DDD">
        <w:rPr>
          <w:rFonts w:ascii="Times New Roman" w:hAnsi="Times New Roman" w:cs="Times New Roman"/>
          <w:sz w:val="36"/>
          <w:szCs w:val="36"/>
        </w:rPr>
        <w:t xml:space="preserve"> и г. Новосибирск.</w:t>
      </w:r>
    </w:p>
    <w:p w:rsidR="00F40DDD" w:rsidRDefault="000A0E84" w:rsidP="00F40DDD">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Превалирующие</w:t>
      </w:r>
      <w:r w:rsidR="00F40DDD">
        <w:rPr>
          <w:rFonts w:ascii="Times New Roman" w:hAnsi="Times New Roman" w:cs="Times New Roman"/>
          <w:sz w:val="36"/>
          <w:szCs w:val="36"/>
        </w:rPr>
        <w:t xml:space="preserve"> сектор</w:t>
      </w:r>
      <w:r>
        <w:rPr>
          <w:rFonts w:ascii="Times New Roman" w:hAnsi="Times New Roman" w:cs="Times New Roman"/>
          <w:sz w:val="36"/>
          <w:szCs w:val="36"/>
        </w:rPr>
        <w:t>а</w:t>
      </w:r>
      <w:r w:rsidR="00F40DDD">
        <w:rPr>
          <w:rFonts w:ascii="Times New Roman" w:hAnsi="Times New Roman" w:cs="Times New Roman"/>
          <w:sz w:val="36"/>
          <w:szCs w:val="36"/>
        </w:rPr>
        <w:t xml:space="preserve"> экономики по количеству зарегистрированной техники в 202</w:t>
      </w:r>
      <w:r w:rsidR="00594C5E">
        <w:rPr>
          <w:rFonts w:ascii="Times New Roman" w:hAnsi="Times New Roman" w:cs="Times New Roman"/>
          <w:sz w:val="36"/>
          <w:szCs w:val="36"/>
        </w:rPr>
        <w:t>1</w:t>
      </w:r>
      <w:r>
        <w:rPr>
          <w:rFonts w:ascii="Times New Roman" w:hAnsi="Times New Roman" w:cs="Times New Roman"/>
          <w:sz w:val="36"/>
          <w:szCs w:val="36"/>
        </w:rPr>
        <w:t xml:space="preserve"> году- </w:t>
      </w:r>
      <w:r w:rsidR="000742D8">
        <w:rPr>
          <w:rFonts w:ascii="Times New Roman" w:hAnsi="Times New Roman" w:cs="Times New Roman"/>
          <w:sz w:val="36"/>
          <w:szCs w:val="36"/>
        </w:rPr>
        <w:t>строительная, дорожная</w:t>
      </w:r>
      <w:r>
        <w:rPr>
          <w:rFonts w:ascii="Times New Roman" w:hAnsi="Times New Roman" w:cs="Times New Roman"/>
          <w:sz w:val="36"/>
          <w:szCs w:val="36"/>
        </w:rPr>
        <w:t xml:space="preserve">, лесная </w:t>
      </w:r>
      <w:r w:rsidR="00F40DDD">
        <w:rPr>
          <w:rFonts w:ascii="Times New Roman" w:hAnsi="Times New Roman" w:cs="Times New Roman"/>
          <w:sz w:val="36"/>
          <w:szCs w:val="36"/>
        </w:rPr>
        <w:t>отрасли.</w:t>
      </w:r>
    </w:p>
    <w:p w:rsidR="001469D9" w:rsidRDefault="00F40DDD" w:rsidP="001469D9">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Продолжает увеличиваться о</w:t>
      </w:r>
      <w:r w:rsidR="00975CCB">
        <w:rPr>
          <w:rFonts w:ascii="Times New Roman" w:hAnsi="Times New Roman" w:cs="Times New Roman"/>
          <w:sz w:val="36"/>
          <w:szCs w:val="36"/>
        </w:rPr>
        <w:t xml:space="preserve">трыв в динамике по регистрации </w:t>
      </w:r>
      <w:r>
        <w:rPr>
          <w:rFonts w:ascii="Times New Roman" w:hAnsi="Times New Roman" w:cs="Times New Roman"/>
          <w:sz w:val="36"/>
          <w:szCs w:val="36"/>
        </w:rPr>
        <w:t>всех видов техники за физическими лицами-55%, за юридическими лицами- 45%</w:t>
      </w:r>
      <w:r w:rsidR="00515A34">
        <w:rPr>
          <w:rFonts w:ascii="Times New Roman" w:hAnsi="Times New Roman" w:cs="Times New Roman"/>
          <w:sz w:val="36"/>
          <w:szCs w:val="36"/>
        </w:rPr>
        <w:t>. В</w:t>
      </w:r>
      <w:r w:rsidR="00594C5E">
        <w:rPr>
          <w:rFonts w:ascii="Times New Roman" w:hAnsi="Times New Roman" w:cs="Times New Roman"/>
          <w:sz w:val="36"/>
          <w:szCs w:val="36"/>
        </w:rPr>
        <w:t xml:space="preserve"> 2021 году зарегистрирова</w:t>
      </w:r>
      <w:r w:rsidR="00515A34">
        <w:rPr>
          <w:rFonts w:ascii="Times New Roman" w:hAnsi="Times New Roman" w:cs="Times New Roman"/>
          <w:sz w:val="36"/>
          <w:szCs w:val="36"/>
        </w:rPr>
        <w:t>но</w:t>
      </w:r>
      <w:r w:rsidR="00594C5E">
        <w:rPr>
          <w:rFonts w:ascii="Times New Roman" w:hAnsi="Times New Roman" w:cs="Times New Roman"/>
          <w:sz w:val="36"/>
          <w:szCs w:val="36"/>
        </w:rPr>
        <w:t xml:space="preserve"> </w:t>
      </w:r>
      <w:r w:rsidR="00881388">
        <w:rPr>
          <w:rFonts w:ascii="Times New Roman" w:hAnsi="Times New Roman" w:cs="Times New Roman"/>
          <w:sz w:val="36"/>
          <w:szCs w:val="36"/>
        </w:rPr>
        <w:t>различных видов аттракционов – 66</w:t>
      </w:r>
      <w:r w:rsidR="00975CCB">
        <w:rPr>
          <w:rFonts w:ascii="Times New Roman" w:hAnsi="Times New Roman" w:cs="Times New Roman"/>
          <w:sz w:val="36"/>
          <w:szCs w:val="36"/>
        </w:rPr>
        <w:t xml:space="preserve"> единиц, в том числе 19 зимних </w:t>
      </w:r>
      <w:r w:rsidR="00881388">
        <w:rPr>
          <w:rFonts w:ascii="Times New Roman" w:hAnsi="Times New Roman" w:cs="Times New Roman"/>
          <w:sz w:val="36"/>
          <w:szCs w:val="36"/>
        </w:rPr>
        <w:t>го</w:t>
      </w:r>
      <w:r w:rsidR="00975CCB">
        <w:rPr>
          <w:rFonts w:ascii="Times New Roman" w:hAnsi="Times New Roman" w:cs="Times New Roman"/>
          <w:sz w:val="36"/>
          <w:szCs w:val="36"/>
        </w:rPr>
        <w:t>рок</w:t>
      </w:r>
      <w:r w:rsidR="00A61687">
        <w:rPr>
          <w:rFonts w:ascii="Times New Roman" w:hAnsi="Times New Roman" w:cs="Times New Roman"/>
          <w:sz w:val="36"/>
          <w:szCs w:val="36"/>
        </w:rPr>
        <w:t>.</w:t>
      </w:r>
      <w:r w:rsidR="00975CCB">
        <w:rPr>
          <w:rFonts w:ascii="Times New Roman" w:hAnsi="Times New Roman" w:cs="Times New Roman"/>
          <w:sz w:val="36"/>
          <w:szCs w:val="36"/>
        </w:rPr>
        <w:t xml:space="preserve"> </w:t>
      </w:r>
    </w:p>
    <w:p w:rsidR="00975CCB" w:rsidRDefault="00C67BF0" w:rsidP="001469D9">
      <w:pPr>
        <w:spacing w:after="0" w:line="240" w:lineRule="auto"/>
        <w:jc w:val="center"/>
        <w:rPr>
          <w:rFonts w:ascii="Times New Roman" w:hAnsi="Times New Roman" w:cs="Times New Roman"/>
          <w:b/>
          <w:sz w:val="36"/>
          <w:szCs w:val="36"/>
        </w:rPr>
      </w:pPr>
      <w:r w:rsidRPr="00C67BF0">
        <w:rPr>
          <w:rFonts w:ascii="Times New Roman" w:hAnsi="Times New Roman" w:cs="Times New Roman"/>
          <w:b/>
          <w:sz w:val="36"/>
          <w:szCs w:val="36"/>
        </w:rPr>
        <w:lastRenderedPageBreak/>
        <w:t>Проведение периодических государственных</w:t>
      </w:r>
    </w:p>
    <w:p w:rsidR="00C67BF0" w:rsidRPr="00C67BF0" w:rsidRDefault="00C67BF0" w:rsidP="00975CCB">
      <w:pPr>
        <w:spacing w:after="0" w:line="240" w:lineRule="auto"/>
        <w:jc w:val="center"/>
        <w:rPr>
          <w:rFonts w:ascii="Times New Roman" w:hAnsi="Times New Roman" w:cs="Times New Roman"/>
          <w:b/>
          <w:sz w:val="36"/>
          <w:szCs w:val="36"/>
        </w:rPr>
      </w:pPr>
      <w:r w:rsidRPr="00C67BF0">
        <w:rPr>
          <w:rFonts w:ascii="Times New Roman" w:hAnsi="Times New Roman" w:cs="Times New Roman"/>
          <w:b/>
          <w:sz w:val="36"/>
          <w:szCs w:val="36"/>
        </w:rPr>
        <w:t xml:space="preserve"> технических осмотров</w:t>
      </w:r>
    </w:p>
    <w:p w:rsidR="00C67BF0" w:rsidRPr="00C67BF0" w:rsidRDefault="00C67BF0" w:rsidP="00C67BF0">
      <w:pPr>
        <w:spacing w:after="0" w:line="240" w:lineRule="auto"/>
        <w:jc w:val="both"/>
        <w:rPr>
          <w:rFonts w:ascii="Times New Roman" w:hAnsi="Times New Roman" w:cs="Times New Roman"/>
          <w:sz w:val="36"/>
          <w:szCs w:val="36"/>
        </w:rPr>
      </w:pPr>
    </w:p>
    <w:p w:rsidR="00F40DDD" w:rsidRDefault="000742D8" w:rsidP="00946AA1">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drawing>
          <wp:inline distT="0" distB="0" distL="0" distR="0" wp14:anchorId="354EF498" wp14:editId="4ABF6C6B">
            <wp:extent cx="6840220" cy="4637405"/>
            <wp:effectExtent l="0" t="0" r="17780" b="10795"/>
            <wp:docPr id="1" name="Диаграмма 1">
              <a:extLst xmlns:a="http://schemas.openxmlformats.org/drawingml/2006/main">
                <a:ext uri="{FF2B5EF4-FFF2-40B4-BE49-F238E27FC236}">
                  <a16:creationId xmlns:a16="http://schemas.microsoft.com/office/drawing/2014/main" id="{A25D8FA8-75E9-4C4A-B917-5DD0CD255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75CCB" w:rsidRDefault="00975CCB" w:rsidP="00770C32">
      <w:pPr>
        <w:spacing w:after="0" w:line="240" w:lineRule="auto"/>
        <w:jc w:val="both"/>
        <w:rPr>
          <w:rFonts w:ascii="Times New Roman" w:hAnsi="Times New Roman" w:cs="Times New Roman"/>
          <w:sz w:val="36"/>
          <w:szCs w:val="36"/>
          <w:u w:val="single"/>
        </w:rPr>
      </w:pPr>
    </w:p>
    <w:p w:rsidR="008209ED" w:rsidRPr="008209ED" w:rsidRDefault="008209ED" w:rsidP="008209ED">
      <w:pPr>
        <w:spacing w:after="0" w:line="240" w:lineRule="auto"/>
        <w:jc w:val="center"/>
        <w:rPr>
          <w:rFonts w:ascii="Times New Roman" w:hAnsi="Times New Roman" w:cs="Times New Roman"/>
          <w:b/>
          <w:sz w:val="36"/>
          <w:szCs w:val="36"/>
        </w:rPr>
      </w:pPr>
      <w:r w:rsidRPr="008209ED">
        <w:rPr>
          <w:rFonts w:ascii="Times New Roman" w:hAnsi="Times New Roman" w:cs="Times New Roman"/>
          <w:b/>
          <w:sz w:val="36"/>
          <w:szCs w:val="36"/>
        </w:rPr>
        <w:t>Приём экзаменов на право управление</w:t>
      </w:r>
    </w:p>
    <w:p w:rsidR="008209ED" w:rsidRPr="008209ED" w:rsidRDefault="008209ED" w:rsidP="008209ED">
      <w:pPr>
        <w:spacing w:after="0" w:line="240" w:lineRule="auto"/>
        <w:jc w:val="center"/>
        <w:rPr>
          <w:rFonts w:ascii="Times New Roman" w:hAnsi="Times New Roman" w:cs="Times New Roman"/>
          <w:b/>
          <w:sz w:val="36"/>
          <w:szCs w:val="36"/>
        </w:rPr>
      </w:pPr>
      <w:r w:rsidRPr="008209ED">
        <w:rPr>
          <w:rFonts w:ascii="Times New Roman" w:hAnsi="Times New Roman" w:cs="Times New Roman"/>
          <w:b/>
          <w:sz w:val="36"/>
          <w:szCs w:val="36"/>
        </w:rPr>
        <w:t>самоходными машинами</w:t>
      </w:r>
    </w:p>
    <w:p w:rsidR="008209ED" w:rsidRPr="008209ED" w:rsidRDefault="008209ED" w:rsidP="008209ED">
      <w:pPr>
        <w:spacing w:after="0" w:line="240" w:lineRule="auto"/>
        <w:jc w:val="both"/>
        <w:rPr>
          <w:rFonts w:ascii="Times New Roman" w:hAnsi="Times New Roman" w:cs="Times New Roman"/>
          <w:sz w:val="36"/>
          <w:szCs w:val="36"/>
        </w:rPr>
      </w:pPr>
    </w:p>
    <w:p w:rsidR="008209ED" w:rsidRPr="008209ED" w:rsidRDefault="008209ED" w:rsidP="008209ED">
      <w:pPr>
        <w:spacing w:after="0" w:line="240" w:lineRule="auto"/>
        <w:jc w:val="both"/>
        <w:rPr>
          <w:rFonts w:ascii="Times New Roman" w:hAnsi="Times New Roman" w:cs="Times New Roman"/>
          <w:sz w:val="36"/>
          <w:szCs w:val="36"/>
        </w:rPr>
      </w:pPr>
      <w:r w:rsidRPr="008209ED">
        <w:rPr>
          <w:rFonts w:ascii="Times New Roman" w:hAnsi="Times New Roman" w:cs="Times New Roman"/>
          <w:sz w:val="36"/>
          <w:szCs w:val="36"/>
        </w:rPr>
        <w:tab/>
      </w:r>
      <w:r w:rsidR="00B86921">
        <w:rPr>
          <w:rFonts w:ascii="Times New Roman" w:hAnsi="Times New Roman" w:cs="Times New Roman"/>
          <w:sz w:val="36"/>
          <w:szCs w:val="36"/>
        </w:rPr>
        <w:t>П</w:t>
      </w:r>
      <w:r w:rsidRPr="008209ED">
        <w:rPr>
          <w:rFonts w:ascii="Times New Roman" w:hAnsi="Times New Roman" w:cs="Times New Roman"/>
          <w:sz w:val="36"/>
          <w:szCs w:val="36"/>
        </w:rPr>
        <w:t>о состоянию на 01.01.2022 года действует 6</w:t>
      </w:r>
      <w:r w:rsidR="00770C32">
        <w:rPr>
          <w:rFonts w:ascii="Times New Roman" w:hAnsi="Times New Roman" w:cs="Times New Roman"/>
          <w:sz w:val="36"/>
          <w:szCs w:val="36"/>
        </w:rPr>
        <w:t>0</w:t>
      </w:r>
      <w:r w:rsidRPr="008209ED">
        <w:rPr>
          <w:rFonts w:ascii="Times New Roman" w:hAnsi="Times New Roman" w:cs="Times New Roman"/>
          <w:sz w:val="36"/>
          <w:szCs w:val="36"/>
        </w:rPr>
        <w:t xml:space="preserve"> учебных заведений. Инспекторами области были приняты экзамены у 5</w:t>
      </w:r>
      <w:r w:rsidR="00770C32">
        <w:rPr>
          <w:rFonts w:ascii="Times New Roman" w:hAnsi="Times New Roman" w:cs="Times New Roman"/>
          <w:sz w:val="36"/>
          <w:szCs w:val="36"/>
        </w:rPr>
        <w:t>811</w:t>
      </w:r>
      <w:r w:rsidRPr="008209ED">
        <w:rPr>
          <w:rFonts w:ascii="Times New Roman" w:hAnsi="Times New Roman" w:cs="Times New Roman"/>
          <w:sz w:val="36"/>
          <w:szCs w:val="36"/>
        </w:rPr>
        <w:t xml:space="preserve"> граждан, выдано 9945 удостоверений на право управление самоходной техникой, в 20 году соответственно 7465 </w:t>
      </w:r>
      <w:r w:rsidR="000742D8" w:rsidRPr="008209ED">
        <w:rPr>
          <w:rFonts w:ascii="Times New Roman" w:hAnsi="Times New Roman" w:cs="Times New Roman"/>
          <w:sz w:val="36"/>
          <w:szCs w:val="36"/>
        </w:rPr>
        <w:t>удостоверений, динамика</w:t>
      </w:r>
      <w:r w:rsidRPr="008209ED">
        <w:rPr>
          <w:rFonts w:ascii="Times New Roman" w:hAnsi="Times New Roman" w:cs="Times New Roman"/>
          <w:sz w:val="36"/>
          <w:szCs w:val="36"/>
        </w:rPr>
        <w:t xml:space="preserve"> роста</w:t>
      </w:r>
      <w:r w:rsidR="00B82656">
        <w:rPr>
          <w:rFonts w:ascii="Times New Roman" w:hAnsi="Times New Roman" w:cs="Times New Roman"/>
          <w:sz w:val="36"/>
          <w:szCs w:val="36"/>
        </w:rPr>
        <w:t xml:space="preserve"> в </w:t>
      </w:r>
      <w:r w:rsidR="00962012" w:rsidRPr="00962012">
        <w:rPr>
          <w:rFonts w:ascii="Times New Roman" w:hAnsi="Times New Roman" w:cs="Times New Roman"/>
          <w:sz w:val="36"/>
          <w:szCs w:val="36"/>
        </w:rPr>
        <w:t>20</w:t>
      </w:r>
      <w:r w:rsidR="00B82656">
        <w:rPr>
          <w:rFonts w:ascii="Times New Roman" w:hAnsi="Times New Roman" w:cs="Times New Roman"/>
          <w:sz w:val="36"/>
          <w:szCs w:val="36"/>
        </w:rPr>
        <w:t>21</w:t>
      </w:r>
      <w:r w:rsidRPr="008209ED">
        <w:rPr>
          <w:rFonts w:ascii="Times New Roman" w:hAnsi="Times New Roman" w:cs="Times New Roman"/>
          <w:sz w:val="36"/>
          <w:szCs w:val="36"/>
        </w:rPr>
        <w:t xml:space="preserve"> </w:t>
      </w:r>
      <w:r w:rsidR="000742D8">
        <w:rPr>
          <w:rFonts w:ascii="Times New Roman" w:hAnsi="Times New Roman" w:cs="Times New Roman"/>
          <w:sz w:val="36"/>
          <w:szCs w:val="36"/>
        </w:rPr>
        <w:t xml:space="preserve">году </w:t>
      </w:r>
      <w:r w:rsidR="000742D8" w:rsidRPr="008209ED">
        <w:rPr>
          <w:rFonts w:ascii="Times New Roman" w:hAnsi="Times New Roman" w:cs="Times New Roman"/>
          <w:sz w:val="36"/>
          <w:szCs w:val="36"/>
        </w:rPr>
        <w:t>33</w:t>
      </w:r>
      <w:r w:rsidRPr="008209ED">
        <w:rPr>
          <w:rFonts w:ascii="Times New Roman" w:hAnsi="Times New Roman" w:cs="Times New Roman"/>
          <w:sz w:val="36"/>
          <w:szCs w:val="36"/>
        </w:rPr>
        <w:t xml:space="preserve">,2%, </w:t>
      </w:r>
      <w:r w:rsidR="000742D8" w:rsidRPr="008209ED">
        <w:rPr>
          <w:rFonts w:ascii="Times New Roman" w:hAnsi="Times New Roman" w:cs="Times New Roman"/>
          <w:sz w:val="36"/>
          <w:szCs w:val="36"/>
        </w:rPr>
        <w:t>что существенно</w:t>
      </w:r>
      <w:r w:rsidRPr="008209ED">
        <w:rPr>
          <w:rFonts w:ascii="Times New Roman" w:hAnsi="Times New Roman" w:cs="Times New Roman"/>
          <w:sz w:val="36"/>
          <w:szCs w:val="36"/>
        </w:rPr>
        <w:t xml:space="preserve"> повлияло на об</w:t>
      </w:r>
      <w:r w:rsidR="00962012">
        <w:rPr>
          <w:rFonts w:ascii="Times New Roman" w:hAnsi="Times New Roman" w:cs="Times New Roman"/>
          <w:sz w:val="36"/>
          <w:szCs w:val="36"/>
        </w:rPr>
        <w:t>ъём сборов</w:t>
      </w:r>
      <w:r w:rsidRPr="008209ED">
        <w:rPr>
          <w:rFonts w:ascii="Times New Roman" w:hAnsi="Times New Roman" w:cs="Times New Roman"/>
          <w:sz w:val="36"/>
          <w:szCs w:val="36"/>
        </w:rPr>
        <w:t xml:space="preserve"> доходов. </w:t>
      </w:r>
    </w:p>
    <w:p w:rsidR="00B07746" w:rsidRDefault="00B07746" w:rsidP="008209ED">
      <w:pPr>
        <w:spacing w:after="0" w:line="240" w:lineRule="auto"/>
        <w:jc w:val="both"/>
        <w:rPr>
          <w:rFonts w:ascii="Times New Roman" w:hAnsi="Times New Roman" w:cs="Times New Roman"/>
          <w:sz w:val="36"/>
          <w:szCs w:val="36"/>
        </w:rPr>
      </w:pPr>
      <w:r>
        <w:rPr>
          <w:rFonts w:ascii="Times New Roman" w:hAnsi="Times New Roman" w:cs="Times New Roman"/>
          <w:sz w:val="36"/>
          <w:szCs w:val="36"/>
        </w:rPr>
        <w:tab/>
        <w:t>У</w:t>
      </w:r>
      <w:r w:rsidR="008209ED" w:rsidRPr="008209ED">
        <w:rPr>
          <w:rFonts w:ascii="Times New Roman" w:hAnsi="Times New Roman" w:cs="Times New Roman"/>
          <w:sz w:val="36"/>
          <w:szCs w:val="36"/>
        </w:rPr>
        <w:t>ровень</w:t>
      </w:r>
      <w:r w:rsidR="00962012" w:rsidRPr="00962012">
        <w:rPr>
          <w:rFonts w:ascii="Times New Roman" w:hAnsi="Times New Roman" w:cs="Times New Roman"/>
          <w:sz w:val="36"/>
          <w:szCs w:val="36"/>
        </w:rPr>
        <w:t xml:space="preserve"> </w:t>
      </w:r>
      <w:r w:rsidR="00962012">
        <w:rPr>
          <w:rFonts w:ascii="Times New Roman" w:hAnsi="Times New Roman" w:cs="Times New Roman"/>
          <w:sz w:val="36"/>
          <w:szCs w:val="36"/>
        </w:rPr>
        <w:t>качества</w:t>
      </w:r>
      <w:r w:rsidR="008209ED" w:rsidRPr="008209ED">
        <w:rPr>
          <w:rFonts w:ascii="Times New Roman" w:hAnsi="Times New Roman" w:cs="Times New Roman"/>
          <w:sz w:val="36"/>
          <w:szCs w:val="36"/>
        </w:rPr>
        <w:t xml:space="preserve"> сдачи экзаменов с первого раза не превысил уровень прошлого года и составляет в пределах 85-90%.</w:t>
      </w:r>
      <w:r w:rsidR="008209ED" w:rsidRPr="008209ED">
        <w:rPr>
          <w:rFonts w:ascii="Times New Roman" w:hAnsi="Times New Roman" w:cs="Times New Roman"/>
          <w:sz w:val="36"/>
          <w:szCs w:val="36"/>
        </w:rPr>
        <w:tab/>
      </w:r>
    </w:p>
    <w:p w:rsidR="00F40DDD" w:rsidRDefault="008209ED" w:rsidP="008209ED">
      <w:pPr>
        <w:spacing w:after="0" w:line="240" w:lineRule="auto"/>
        <w:jc w:val="both"/>
        <w:rPr>
          <w:rFonts w:ascii="Times New Roman" w:hAnsi="Times New Roman" w:cs="Times New Roman"/>
          <w:sz w:val="36"/>
          <w:szCs w:val="36"/>
        </w:rPr>
      </w:pPr>
      <w:r w:rsidRPr="008209ED">
        <w:rPr>
          <w:rFonts w:ascii="Times New Roman" w:hAnsi="Times New Roman" w:cs="Times New Roman"/>
          <w:sz w:val="36"/>
          <w:szCs w:val="36"/>
        </w:rPr>
        <w:tab/>
        <w:t xml:space="preserve">В </w:t>
      </w:r>
      <w:r w:rsidR="00962012">
        <w:rPr>
          <w:rFonts w:ascii="Times New Roman" w:hAnsi="Times New Roman" w:cs="Times New Roman"/>
          <w:sz w:val="36"/>
          <w:szCs w:val="36"/>
        </w:rPr>
        <w:t>20</w:t>
      </w:r>
      <w:r w:rsidRPr="008209ED">
        <w:rPr>
          <w:rFonts w:ascii="Times New Roman" w:hAnsi="Times New Roman" w:cs="Times New Roman"/>
          <w:sz w:val="36"/>
          <w:szCs w:val="36"/>
        </w:rPr>
        <w:t>21 году инспекцией было проведено 2 обследования учебных заведений на право подготовки водителей с</w:t>
      </w:r>
      <w:r w:rsidR="00770C32">
        <w:rPr>
          <w:rFonts w:ascii="Times New Roman" w:hAnsi="Times New Roman" w:cs="Times New Roman"/>
          <w:sz w:val="36"/>
          <w:szCs w:val="36"/>
        </w:rPr>
        <w:t xml:space="preserve">амоходной техники, </w:t>
      </w:r>
      <w:r w:rsidRPr="008209ED">
        <w:rPr>
          <w:rFonts w:ascii="Times New Roman" w:hAnsi="Times New Roman" w:cs="Times New Roman"/>
          <w:sz w:val="36"/>
          <w:szCs w:val="36"/>
        </w:rPr>
        <w:t>рассмотрено и согласовано 11 учебных программ обучения для образовательных учреждений.</w:t>
      </w:r>
    </w:p>
    <w:p w:rsidR="00770C32" w:rsidRDefault="00770C32" w:rsidP="00770C32">
      <w:pPr>
        <w:spacing w:after="0" w:line="240" w:lineRule="auto"/>
        <w:jc w:val="both"/>
        <w:rPr>
          <w:rFonts w:ascii="Times New Roman" w:hAnsi="Times New Roman" w:cs="Times New Roman"/>
          <w:sz w:val="36"/>
          <w:szCs w:val="36"/>
        </w:rPr>
      </w:pPr>
    </w:p>
    <w:p w:rsidR="00770C32" w:rsidRPr="00770C32" w:rsidRDefault="00770C32" w:rsidP="00770C32">
      <w:pPr>
        <w:spacing w:after="0" w:line="240" w:lineRule="auto"/>
        <w:jc w:val="center"/>
        <w:rPr>
          <w:rFonts w:ascii="Times New Roman" w:hAnsi="Times New Roman" w:cs="Times New Roman"/>
          <w:b/>
          <w:sz w:val="36"/>
          <w:szCs w:val="36"/>
        </w:rPr>
      </w:pPr>
      <w:r w:rsidRPr="00770C32">
        <w:rPr>
          <w:rFonts w:ascii="Times New Roman" w:hAnsi="Times New Roman" w:cs="Times New Roman"/>
          <w:b/>
          <w:sz w:val="36"/>
          <w:szCs w:val="36"/>
        </w:rPr>
        <w:lastRenderedPageBreak/>
        <w:t>Оказание государственных услуг через единый портал государственных услуг</w:t>
      </w:r>
    </w:p>
    <w:p w:rsidR="00770C32" w:rsidRPr="00770C32" w:rsidRDefault="00770C32" w:rsidP="00770C32">
      <w:pPr>
        <w:spacing w:after="0" w:line="240" w:lineRule="auto"/>
        <w:jc w:val="both"/>
        <w:rPr>
          <w:rFonts w:ascii="Times New Roman" w:hAnsi="Times New Roman" w:cs="Times New Roman"/>
          <w:sz w:val="36"/>
          <w:szCs w:val="36"/>
        </w:rPr>
      </w:pPr>
    </w:p>
    <w:tbl>
      <w:tblPr>
        <w:tblW w:w="10720" w:type="dxa"/>
        <w:tblCellMar>
          <w:left w:w="0" w:type="dxa"/>
          <w:right w:w="0" w:type="dxa"/>
        </w:tblCellMar>
        <w:tblLook w:val="04A0" w:firstRow="1" w:lastRow="0" w:firstColumn="1" w:lastColumn="0" w:noHBand="0" w:noVBand="1"/>
      </w:tblPr>
      <w:tblGrid>
        <w:gridCol w:w="2744"/>
        <w:gridCol w:w="2672"/>
        <w:gridCol w:w="2261"/>
        <w:gridCol w:w="3043"/>
      </w:tblGrid>
      <w:tr w:rsidR="000742D8" w:rsidRPr="000742D8" w:rsidTr="000742D8">
        <w:trPr>
          <w:trHeight w:val="2008"/>
        </w:trPr>
        <w:tc>
          <w:tcPr>
            <w:tcW w:w="274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 </w:t>
            </w:r>
          </w:p>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Наименование</w:t>
            </w:r>
          </w:p>
        </w:tc>
        <w:tc>
          <w:tcPr>
            <w:tcW w:w="267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 </w:t>
            </w:r>
          </w:p>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Город Новосибирск, (%)</w:t>
            </w:r>
          </w:p>
        </w:tc>
        <w:tc>
          <w:tcPr>
            <w:tcW w:w="226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 </w:t>
            </w:r>
          </w:p>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 xml:space="preserve">Районы области, </w:t>
            </w:r>
          </w:p>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w:t>
            </w:r>
          </w:p>
        </w:tc>
        <w:tc>
          <w:tcPr>
            <w:tcW w:w="30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 </w:t>
            </w:r>
          </w:p>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 xml:space="preserve">Итого по инспекции, </w:t>
            </w:r>
          </w:p>
          <w:p w:rsidR="000742D8" w:rsidRPr="000742D8" w:rsidRDefault="000742D8" w:rsidP="000742D8">
            <w:pPr>
              <w:spacing w:after="0" w:line="240" w:lineRule="auto"/>
              <w:rPr>
                <w:rFonts w:ascii="Times New Roman" w:hAnsi="Times New Roman" w:cs="Times New Roman"/>
                <w:sz w:val="36"/>
                <w:szCs w:val="36"/>
              </w:rPr>
            </w:pPr>
            <w:r w:rsidRPr="000742D8">
              <w:rPr>
                <w:rFonts w:ascii="Times New Roman" w:hAnsi="Times New Roman" w:cs="Times New Roman"/>
                <w:b/>
                <w:bCs/>
                <w:sz w:val="36"/>
                <w:szCs w:val="36"/>
              </w:rPr>
              <w:t>(%)</w:t>
            </w:r>
          </w:p>
        </w:tc>
      </w:tr>
      <w:tr w:rsidR="000742D8" w:rsidRPr="000742D8" w:rsidTr="000742D8">
        <w:trPr>
          <w:trHeight w:val="981"/>
        </w:trPr>
        <w:tc>
          <w:tcPr>
            <w:tcW w:w="27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2019</w:t>
            </w:r>
          </w:p>
        </w:tc>
        <w:tc>
          <w:tcPr>
            <w:tcW w:w="267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5.3 %</w:t>
            </w:r>
          </w:p>
        </w:tc>
        <w:tc>
          <w:tcPr>
            <w:tcW w:w="22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1.9 %</w:t>
            </w:r>
          </w:p>
        </w:tc>
        <w:tc>
          <w:tcPr>
            <w:tcW w:w="30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2.8 %</w:t>
            </w:r>
          </w:p>
        </w:tc>
      </w:tr>
      <w:tr w:rsidR="000742D8" w:rsidRPr="000742D8" w:rsidTr="000742D8">
        <w:trPr>
          <w:trHeight w:val="941"/>
        </w:trPr>
        <w:tc>
          <w:tcPr>
            <w:tcW w:w="27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2020</w:t>
            </w:r>
          </w:p>
        </w:tc>
        <w:tc>
          <w:tcPr>
            <w:tcW w:w="26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31.7 %</w:t>
            </w:r>
          </w:p>
        </w:tc>
        <w:tc>
          <w:tcPr>
            <w:tcW w:w="22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11.1 %</w:t>
            </w:r>
          </w:p>
        </w:tc>
        <w:tc>
          <w:tcPr>
            <w:tcW w:w="30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 xml:space="preserve"> 16.3%</w:t>
            </w:r>
          </w:p>
        </w:tc>
      </w:tr>
      <w:tr w:rsidR="000742D8" w:rsidRPr="000742D8" w:rsidTr="000742D8">
        <w:trPr>
          <w:trHeight w:val="941"/>
        </w:trPr>
        <w:tc>
          <w:tcPr>
            <w:tcW w:w="27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2021</w:t>
            </w:r>
          </w:p>
        </w:tc>
        <w:tc>
          <w:tcPr>
            <w:tcW w:w="26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36.0 %</w:t>
            </w:r>
          </w:p>
        </w:tc>
        <w:tc>
          <w:tcPr>
            <w:tcW w:w="22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31.3 %</w:t>
            </w:r>
          </w:p>
        </w:tc>
        <w:tc>
          <w:tcPr>
            <w:tcW w:w="30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spacing w:after="0" w:line="240" w:lineRule="auto"/>
              <w:jc w:val="both"/>
              <w:rPr>
                <w:rFonts w:ascii="Times New Roman" w:hAnsi="Times New Roman" w:cs="Times New Roman"/>
                <w:sz w:val="36"/>
                <w:szCs w:val="36"/>
              </w:rPr>
            </w:pPr>
            <w:r w:rsidRPr="000742D8">
              <w:rPr>
                <w:rFonts w:ascii="Times New Roman" w:hAnsi="Times New Roman" w:cs="Times New Roman"/>
                <w:sz w:val="36"/>
                <w:szCs w:val="36"/>
              </w:rPr>
              <w:t xml:space="preserve"> 32.6%</w:t>
            </w:r>
          </w:p>
        </w:tc>
      </w:tr>
    </w:tbl>
    <w:p w:rsidR="00B07746" w:rsidRPr="00770C32" w:rsidRDefault="00B07746" w:rsidP="00770C32">
      <w:pPr>
        <w:spacing w:after="0" w:line="240" w:lineRule="auto"/>
        <w:jc w:val="both"/>
        <w:rPr>
          <w:rFonts w:ascii="Times New Roman" w:hAnsi="Times New Roman" w:cs="Times New Roman"/>
          <w:sz w:val="36"/>
          <w:szCs w:val="36"/>
        </w:rPr>
      </w:pPr>
    </w:p>
    <w:p w:rsidR="008B442B" w:rsidRPr="008B442B" w:rsidRDefault="00962012" w:rsidP="008B442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Административная практика</w:t>
      </w:r>
    </w:p>
    <w:p w:rsidR="000742D8" w:rsidRDefault="000742D8" w:rsidP="008B442B">
      <w:pPr>
        <w:spacing w:after="0" w:line="240" w:lineRule="auto"/>
        <w:ind w:firstLine="708"/>
        <w:jc w:val="both"/>
        <w:rPr>
          <w:rFonts w:ascii="Times New Roman" w:hAnsi="Times New Roman" w:cs="Times New Roman"/>
          <w:sz w:val="36"/>
          <w:szCs w:val="36"/>
        </w:rPr>
      </w:pPr>
    </w:p>
    <w:p w:rsidR="008B442B" w:rsidRPr="008B442B" w:rsidRDefault="008B442B" w:rsidP="008B442B">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В 2021 году инспекцией вынесено 751 постановление по делам об административных правонарушениях. Из них в отношении:</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 xml:space="preserve">юридических лиц – 56; </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 xml:space="preserve">должностных лиц – 97; </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индивидуальных предпринимателей – 31;</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физических лиц – 564.</w:t>
      </w:r>
    </w:p>
    <w:p w:rsidR="008B442B" w:rsidRPr="008B442B" w:rsidRDefault="008B442B" w:rsidP="008B442B">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По результатам рассмотрения дел об административных правонарушениях, назначены административные наказания в виде:</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предупреждения – 17;</w:t>
      </w:r>
    </w:p>
    <w:p w:rsidR="008B442B" w:rsidRPr="008B442B" w:rsidRDefault="008B442B" w:rsidP="008B442B">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t>
      </w:r>
      <w:r w:rsidRPr="008B442B">
        <w:rPr>
          <w:rFonts w:ascii="Times New Roman" w:hAnsi="Times New Roman" w:cs="Times New Roman"/>
          <w:sz w:val="36"/>
          <w:szCs w:val="36"/>
        </w:rPr>
        <w:t xml:space="preserve">административного штрафа – 734. </w:t>
      </w:r>
    </w:p>
    <w:p w:rsidR="008B442B" w:rsidRPr="008B442B" w:rsidRDefault="008B442B" w:rsidP="008B442B">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Объем наложенных административных штрафов в 2021 году составил более 2 миллионов 130 тысяч рублей, взысканные штрафы – более 1 миллиона 474 тысяч рублей.</w:t>
      </w:r>
    </w:p>
    <w:p w:rsidR="008B442B" w:rsidRPr="000A0E84" w:rsidRDefault="008B442B" w:rsidP="000A0E84">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В 2020 году соответственно рассмотрено 877 дел об ад</w:t>
      </w:r>
      <w:r w:rsidR="00FF45E8">
        <w:rPr>
          <w:rFonts w:ascii="Times New Roman" w:hAnsi="Times New Roman" w:cs="Times New Roman"/>
          <w:sz w:val="36"/>
          <w:szCs w:val="36"/>
        </w:rPr>
        <w:t>министративных правонарушениях,</w:t>
      </w:r>
      <w:r w:rsidRPr="008B442B">
        <w:rPr>
          <w:rFonts w:ascii="Times New Roman" w:hAnsi="Times New Roman" w:cs="Times New Roman"/>
          <w:sz w:val="36"/>
          <w:szCs w:val="36"/>
        </w:rPr>
        <w:t xml:space="preserve"> сумма наложенных административных штрафов составила 1 миллион 110 тысяч рублей, взысканных штрафов – </w:t>
      </w:r>
      <w:r w:rsidR="00FF45E8">
        <w:rPr>
          <w:rFonts w:ascii="Times New Roman" w:hAnsi="Times New Roman" w:cs="Times New Roman"/>
          <w:sz w:val="36"/>
          <w:szCs w:val="36"/>
        </w:rPr>
        <w:t>883</w:t>
      </w:r>
      <w:r w:rsidRPr="008B442B">
        <w:rPr>
          <w:rFonts w:ascii="Times New Roman" w:hAnsi="Times New Roman" w:cs="Times New Roman"/>
          <w:sz w:val="36"/>
          <w:szCs w:val="36"/>
        </w:rPr>
        <w:t xml:space="preserve"> тысячи 7</w:t>
      </w:r>
      <w:r w:rsidR="00FF45E8">
        <w:rPr>
          <w:rFonts w:ascii="Times New Roman" w:hAnsi="Times New Roman" w:cs="Times New Roman"/>
          <w:sz w:val="36"/>
          <w:szCs w:val="36"/>
        </w:rPr>
        <w:t>0</w:t>
      </w:r>
      <w:r w:rsidRPr="008B442B">
        <w:rPr>
          <w:rFonts w:ascii="Times New Roman" w:hAnsi="Times New Roman" w:cs="Times New Roman"/>
          <w:sz w:val="36"/>
          <w:szCs w:val="36"/>
        </w:rPr>
        <w:t>0 рублей.</w:t>
      </w:r>
    </w:p>
    <w:p w:rsidR="008B442B" w:rsidRPr="008B442B" w:rsidRDefault="008B442B" w:rsidP="00E77B61">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 xml:space="preserve">Из анализа административной практики инспекции следует, что несмотря на снижение в 2021 году (-126) количества постановлений </w:t>
      </w:r>
      <w:r w:rsidRPr="008B442B">
        <w:rPr>
          <w:rFonts w:ascii="Times New Roman" w:hAnsi="Times New Roman" w:cs="Times New Roman"/>
          <w:sz w:val="36"/>
          <w:szCs w:val="36"/>
        </w:rPr>
        <w:lastRenderedPageBreak/>
        <w:t xml:space="preserve">по делам об административных правонарушениях, на 92% увеличилась сумма наложенных </w:t>
      </w:r>
      <w:r w:rsidR="000A0E84">
        <w:rPr>
          <w:rFonts w:ascii="Times New Roman" w:hAnsi="Times New Roman" w:cs="Times New Roman"/>
          <w:sz w:val="36"/>
          <w:szCs w:val="36"/>
        </w:rPr>
        <w:t>штрафов и в 1</w:t>
      </w:r>
      <w:r w:rsidRPr="008B442B">
        <w:rPr>
          <w:rFonts w:ascii="Times New Roman" w:hAnsi="Times New Roman" w:cs="Times New Roman"/>
          <w:sz w:val="36"/>
          <w:szCs w:val="36"/>
        </w:rPr>
        <w:t>,</w:t>
      </w:r>
      <w:r w:rsidR="000A0E84">
        <w:rPr>
          <w:rFonts w:ascii="Times New Roman" w:hAnsi="Times New Roman" w:cs="Times New Roman"/>
          <w:sz w:val="36"/>
          <w:szCs w:val="36"/>
        </w:rPr>
        <w:t>7</w:t>
      </w:r>
      <w:r w:rsidRPr="008B442B">
        <w:rPr>
          <w:rFonts w:ascii="Times New Roman" w:hAnsi="Times New Roman" w:cs="Times New Roman"/>
          <w:sz w:val="36"/>
          <w:szCs w:val="36"/>
        </w:rPr>
        <w:t xml:space="preserve"> раза выросла сумма взысканных штрафов.</w:t>
      </w:r>
    </w:p>
    <w:p w:rsidR="008B442B" w:rsidRPr="008B442B" w:rsidRDefault="008B442B" w:rsidP="00E77B61">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Увеличение штрафных санкций и рост взысканных штрафов в 2021 году связаны с внедрением в работу инспекции практики выявления административных правонарушений, предусмотренных статьей 14.43 КоАП РФ.</w:t>
      </w:r>
    </w:p>
    <w:p w:rsidR="008B442B" w:rsidRPr="008B442B" w:rsidRDefault="008B442B" w:rsidP="00E77B61">
      <w:pPr>
        <w:spacing w:after="0" w:line="240" w:lineRule="auto"/>
        <w:ind w:firstLine="708"/>
        <w:jc w:val="both"/>
        <w:rPr>
          <w:rFonts w:ascii="Times New Roman" w:hAnsi="Times New Roman" w:cs="Times New Roman"/>
          <w:sz w:val="36"/>
          <w:szCs w:val="36"/>
        </w:rPr>
      </w:pPr>
      <w:r w:rsidRPr="008B442B">
        <w:rPr>
          <w:rFonts w:ascii="Times New Roman" w:hAnsi="Times New Roman" w:cs="Times New Roman"/>
          <w:sz w:val="36"/>
          <w:szCs w:val="36"/>
        </w:rPr>
        <w:t>В 2021 году инспекторами районов области вынесено 679 постановлений по делам об административных правонарушениях</w:t>
      </w:r>
    </w:p>
    <w:p w:rsidR="008B442B" w:rsidRPr="008B442B" w:rsidRDefault="008B442B" w:rsidP="008B442B">
      <w:pPr>
        <w:spacing w:after="0" w:line="240" w:lineRule="auto"/>
        <w:jc w:val="both"/>
        <w:rPr>
          <w:rFonts w:ascii="Times New Roman" w:hAnsi="Times New Roman" w:cs="Times New Roman"/>
          <w:sz w:val="36"/>
          <w:szCs w:val="36"/>
        </w:rPr>
      </w:pPr>
      <w:r w:rsidRPr="008B442B">
        <w:rPr>
          <w:rFonts w:ascii="Times New Roman" w:hAnsi="Times New Roman" w:cs="Times New Roman"/>
          <w:sz w:val="36"/>
          <w:szCs w:val="36"/>
        </w:rPr>
        <w:t>(2020 г. – 832), инспекторами отдела надзора по г. Новосибирску – 72 (2020 г. – 45).</w:t>
      </w:r>
    </w:p>
    <w:p w:rsidR="00E77B61" w:rsidRPr="00E77B61" w:rsidRDefault="00E77B61" w:rsidP="00E77B61">
      <w:pPr>
        <w:spacing w:after="0" w:line="240" w:lineRule="auto"/>
        <w:jc w:val="center"/>
        <w:rPr>
          <w:rFonts w:ascii="Times New Roman" w:hAnsi="Times New Roman" w:cs="Times New Roman"/>
          <w:b/>
          <w:sz w:val="36"/>
          <w:szCs w:val="36"/>
          <w:u w:val="single"/>
        </w:rPr>
      </w:pPr>
    </w:p>
    <w:p w:rsidR="00DA1F32" w:rsidRPr="00DA1F32" w:rsidRDefault="00DA1F32" w:rsidP="000742D8">
      <w:pPr>
        <w:tabs>
          <w:tab w:val="left" w:pos="1688"/>
        </w:tabs>
        <w:spacing w:after="0" w:line="240" w:lineRule="auto"/>
        <w:jc w:val="center"/>
        <w:rPr>
          <w:rFonts w:ascii="Times New Roman" w:hAnsi="Times New Roman" w:cs="Times New Roman"/>
          <w:b/>
          <w:sz w:val="36"/>
          <w:szCs w:val="36"/>
        </w:rPr>
      </w:pPr>
      <w:r w:rsidRPr="00DA1F32">
        <w:rPr>
          <w:rFonts w:ascii="Times New Roman" w:hAnsi="Times New Roman" w:cs="Times New Roman"/>
          <w:b/>
          <w:sz w:val="36"/>
          <w:szCs w:val="36"/>
        </w:rPr>
        <w:t>О выполнении плана сбора доходов</w:t>
      </w:r>
    </w:p>
    <w:p w:rsidR="00DA1F32" w:rsidRPr="00DA1F32" w:rsidRDefault="00DA1F32" w:rsidP="00DA1F32">
      <w:pPr>
        <w:tabs>
          <w:tab w:val="left" w:pos="1688"/>
        </w:tabs>
        <w:spacing w:after="0" w:line="240" w:lineRule="auto"/>
        <w:jc w:val="both"/>
        <w:rPr>
          <w:rFonts w:ascii="Times New Roman" w:hAnsi="Times New Roman" w:cs="Times New Roman"/>
          <w:b/>
          <w:sz w:val="36"/>
          <w:szCs w:val="36"/>
        </w:rPr>
      </w:pPr>
    </w:p>
    <w:p w:rsidR="00DA1F32" w:rsidRDefault="00DA1F32" w:rsidP="00DA1F32">
      <w:pPr>
        <w:tabs>
          <w:tab w:val="left" w:pos="1688"/>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DA1F32">
        <w:rPr>
          <w:rFonts w:ascii="Times New Roman" w:hAnsi="Times New Roman" w:cs="Times New Roman"/>
          <w:sz w:val="36"/>
          <w:szCs w:val="36"/>
        </w:rPr>
        <w:t xml:space="preserve">Утвержденный для инспекции Правительством области целевой показатель по сбору доходов уже на протяжении 3х последних лет выполняется с заметным превышением, </w:t>
      </w:r>
      <w:r w:rsidR="00962012">
        <w:rPr>
          <w:rFonts w:ascii="Times New Roman" w:hAnsi="Times New Roman" w:cs="Times New Roman"/>
          <w:sz w:val="36"/>
          <w:szCs w:val="36"/>
        </w:rPr>
        <w:t>20</w:t>
      </w:r>
      <w:r w:rsidRPr="00DA1F32">
        <w:rPr>
          <w:rFonts w:ascii="Times New Roman" w:hAnsi="Times New Roman" w:cs="Times New Roman"/>
          <w:sz w:val="36"/>
          <w:szCs w:val="36"/>
        </w:rPr>
        <w:t>20 год завер</w:t>
      </w:r>
      <w:r>
        <w:rPr>
          <w:rFonts w:ascii="Times New Roman" w:hAnsi="Times New Roman" w:cs="Times New Roman"/>
          <w:sz w:val="36"/>
          <w:szCs w:val="36"/>
        </w:rPr>
        <w:t>ш</w:t>
      </w:r>
      <w:r w:rsidR="00962012">
        <w:rPr>
          <w:rFonts w:ascii="Times New Roman" w:hAnsi="Times New Roman" w:cs="Times New Roman"/>
          <w:sz w:val="36"/>
          <w:szCs w:val="36"/>
        </w:rPr>
        <w:t>ен</w:t>
      </w:r>
      <w:r>
        <w:rPr>
          <w:rFonts w:ascii="Times New Roman" w:hAnsi="Times New Roman" w:cs="Times New Roman"/>
          <w:sz w:val="36"/>
          <w:szCs w:val="36"/>
        </w:rPr>
        <w:t xml:space="preserve"> с плюсом 3,4 млн. рублей</w:t>
      </w:r>
      <w:r w:rsidR="00962012">
        <w:rPr>
          <w:rFonts w:ascii="Times New Roman" w:hAnsi="Times New Roman" w:cs="Times New Roman"/>
          <w:sz w:val="36"/>
          <w:szCs w:val="36"/>
        </w:rPr>
        <w:t>, п</w:t>
      </w:r>
      <w:r w:rsidRPr="00DA1F32">
        <w:rPr>
          <w:rFonts w:ascii="Times New Roman" w:hAnsi="Times New Roman" w:cs="Times New Roman"/>
          <w:sz w:val="36"/>
          <w:szCs w:val="36"/>
        </w:rPr>
        <w:t xml:space="preserve">о предоставленной </w:t>
      </w:r>
      <w:r w:rsidR="000742D8" w:rsidRPr="00DA1F32">
        <w:rPr>
          <w:rFonts w:ascii="Times New Roman" w:hAnsi="Times New Roman" w:cs="Times New Roman"/>
          <w:sz w:val="36"/>
          <w:szCs w:val="36"/>
        </w:rPr>
        <w:t>информации центра</w:t>
      </w:r>
      <w:r w:rsidRPr="00DA1F32">
        <w:rPr>
          <w:rFonts w:ascii="Times New Roman" w:hAnsi="Times New Roman" w:cs="Times New Roman"/>
          <w:sz w:val="36"/>
          <w:szCs w:val="36"/>
        </w:rPr>
        <w:t xml:space="preserve"> бухгалтерского учёта </w:t>
      </w:r>
      <w:r w:rsidR="00061A14">
        <w:rPr>
          <w:rFonts w:ascii="Times New Roman" w:hAnsi="Times New Roman" w:cs="Times New Roman"/>
          <w:sz w:val="36"/>
          <w:szCs w:val="36"/>
        </w:rPr>
        <w:t>за 2021 год доходы</w:t>
      </w:r>
      <w:r w:rsidRPr="00DA1F32">
        <w:rPr>
          <w:rFonts w:ascii="Times New Roman" w:hAnsi="Times New Roman" w:cs="Times New Roman"/>
          <w:sz w:val="36"/>
          <w:szCs w:val="36"/>
        </w:rPr>
        <w:t xml:space="preserve"> </w:t>
      </w:r>
      <w:r w:rsidR="00962012">
        <w:rPr>
          <w:rFonts w:ascii="Times New Roman" w:hAnsi="Times New Roman" w:cs="Times New Roman"/>
          <w:sz w:val="36"/>
          <w:szCs w:val="36"/>
        </w:rPr>
        <w:t>превысили</w:t>
      </w:r>
      <w:r w:rsidRPr="00DA1F32">
        <w:rPr>
          <w:rFonts w:ascii="Times New Roman" w:hAnsi="Times New Roman" w:cs="Times New Roman"/>
          <w:sz w:val="36"/>
          <w:szCs w:val="36"/>
        </w:rPr>
        <w:t xml:space="preserve"> </w:t>
      </w:r>
      <w:r w:rsidR="00962012">
        <w:rPr>
          <w:rFonts w:ascii="Times New Roman" w:hAnsi="Times New Roman" w:cs="Times New Roman"/>
          <w:sz w:val="36"/>
          <w:szCs w:val="36"/>
        </w:rPr>
        <w:t>6,2</w:t>
      </w:r>
      <w:r w:rsidRPr="00DA1F32">
        <w:rPr>
          <w:rFonts w:ascii="Times New Roman" w:hAnsi="Times New Roman" w:cs="Times New Roman"/>
          <w:sz w:val="36"/>
          <w:szCs w:val="36"/>
        </w:rPr>
        <w:t xml:space="preserve"> млн. рублей, в том числе полученных штрафов </w:t>
      </w:r>
      <w:r w:rsidR="00962012">
        <w:rPr>
          <w:rFonts w:ascii="Times New Roman" w:hAnsi="Times New Roman" w:cs="Times New Roman"/>
          <w:sz w:val="36"/>
          <w:szCs w:val="36"/>
        </w:rPr>
        <w:t>0,8 млн. рублей</w:t>
      </w:r>
      <w:r w:rsidR="001A27B9">
        <w:rPr>
          <w:rFonts w:ascii="Times New Roman" w:hAnsi="Times New Roman" w:cs="Times New Roman"/>
          <w:sz w:val="36"/>
          <w:szCs w:val="36"/>
        </w:rPr>
        <w:t xml:space="preserve">. Этому способствовало </w:t>
      </w:r>
      <w:r w:rsidRPr="00DA1F32">
        <w:rPr>
          <w:rFonts w:ascii="Times New Roman" w:hAnsi="Times New Roman" w:cs="Times New Roman"/>
          <w:sz w:val="36"/>
          <w:szCs w:val="36"/>
        </w:rPr>
        <w:t>увеличение количества всех предоставленных государственных услуг</w:t>
      </w:r>
      <w:r w:rsidR="001A27B9">
        <w:rPr>
          <w:rFonts w:ascii="Times New Roman" w:hAnsi="Times New Roman" w:cs="Times New Roman"/>
          <w:sz w:val="36"/>
          <w:szCs w:val="36"/>
        </w:rPr>
        <w:t>.</w:t>
      </w:r>
      <w:r w:rsidRPr="00DA1F32">
        <w:rPr>
          <w:rFonts w:ascii="Times New Roman" w:hAnsi="Times New Roman" w:cs="Times New Roman"/>
          <w:sz w:val="36"/>
          <w:szCs w:val="36"/>
        </w:rPr>
        <w:t xml:space="preserve"> </w:t>
      </w:r>
    </w:p>
    <w:p w:rsidR="000742D8" w:rsidRDefault="000742D8" w:rsidP="00DA1F32">
      <w:pPr>
        <w:tabs>
          <w:tab w:val="left" w:pos="1688"/>
        </w:tabs>
        <w:spacing w:after="0" w:line="240" w:lineRule="auto"/>
        <w:jc w:val="both"/>
        <w:rPr>
          <w:rFonts w:ascii="Times New Roman" w:hAnsi="Times New Roman" w:cs="Times New Roman"/>
          <w:sz w:val="36"/>
          <w:szCs w:val="36"/>
        </w:rPr>
      </w:pPr>
    </w:p>
    <w:tbl>
      <w:tblPr>
        <w:tblW w:w="10681" w:type="dxa"/>
        <w:tblCellMar>
          <w:left w:w="0" w:type="dxa"/>
          <w:right w:w="0" w:type="dxa"/>
        </w:tblCellMar>
        <w:tblLook w:val="04A0" w:firstRow="1" w:lastRow="0" w:firstColumn="1" w:lastColumn="0" w:noHBand="0" w:noVBand="1"/>
      </w:tblPr>
      <w:tblGrid>
        <w:gridCol w:w="3485"/>
        <w:gridCol w:w="2358"/>
        <w:gridCol w:w="2269"/>
        <w:gridCol w:w="2569"/>
      </w:tblGrid>
      <w:tr w:rsidR="000742D8" w:rsidRPr="000742D8" w:rsidTr="000742D8">
        <w:trPr>
          <w:trHeight w:val="1508"/>
        </w:trPr>
        <w:tc>
          <w:tcPr>
            <w:tcW w:w="348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Наименование</w:t>
            </w:r>
          </w:p>
        </w:tc>
        <w:tc>
          <w:tcPr>
            <w:tcW w:w="235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2021</w:t>
            </w:r>
          </w:p>
        </w:tc>
        <w:tc>
          <w:tcPr>
            <w:tcW w:w="226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2020</w:t>
            </w:r>
          </w:p>
        </w:tc>
        <w:tc>
          <w:tcPr>
            <w:tcW w:w="256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2019</w:t>
            </w:r>
          </w:p>
        </w:tc>
      </w:tr>
      <w:tr w:rsidR="000742D8" w:rsidRPr="000742D8" w:rsidTr="000742D8">
        <w:trPr>
          <w:trHeight w:val="1621"/>
        </w:trPr>
        <w:tc>
          <w:tcPr>
            <w:tcW w:w="348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План доходов</w:t>
            </w:r>
          </w:p>
        </w:tc>
        <w:tc>
          <w:tcPr>
            <w:tcW w:w="235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24 800 000</w:t>
            </w:r>
          </w:p>
        </w:tc>
        <w:tc>
          <w:tcPr>
            <w:tcW w:w="22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24 500 000</w:t>
            </w:r>
          </w:p>
        </w:tc>
        <w:tc>
          <w:tcPr>
            <w:tcW w:w="25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 xml:space="preserve">24 500 000 </w:t>
            </w:r>
          </w:p>
        </w:tc>
      </w:tr>
      <w:tr w:rsidR="000742D8" w:rsidRPr="000742D8" w:rsidTr="000742D8">
        <w:trPr>
          <w:trHeight w:val="1705"/>
        </w:trPr>
        <w:tc>
          <w:tcPr>
            <w:tcW w:w="348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Фактическое исполнение</w:t>
            </w:r>
          </w:p>
        </w:tc>
        <w:tc>
          <w:tcPr>
            <w:tcW w:w="23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 xml:space="preserve">31 384 500 </w:t>
            </w:r>
          </w:p>
        </w:tc>
        <w:tc>
          <w:tcPr>
            <w:tcW w:w="22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27 904 149</w:t>
            </w:r>
          </w:p>
        </w:tc>
        <w:tc>
          <w:tcPr>
            <w:tcW w:w="25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0742D8" w:rsidRPr="000742D8" w:rsidRDefault="000742D8" w:rsidP="000742D8">
            <w:pPr>
              <w:tabs>
                <w:tab w:val="left" w:pos="1688"/>
              </w:tabs>
              <w:spacing w:after="0" w:line="240" w:lineRule="auto"/>
              <w:jc w:val="both"/>
              <w:rPr>
                <w:rFonts w:ascii="Times New Roman" w:hAnsi="Times New Roman" w:cs="Times New Roman"/>
                <w:sz w:val="36"/>
                <w:szCs w:val="36"/>
              </w:rPr>
            </w:pPr>
            <w:r w:rsidRPr="000742D8">
              <w:rPr>
                <w:rFonts w:ascii="Times New Roman" w:hAnsi="Times New Roman" w:cs="Times New Roman"/>
                <w:b/>
                <w:bCs/>
                <w:sz w:val="36"/>
                <w:szCs w:val="36"/>
              </w:rPr>
              <w:t>24 951 258</w:t>
            </w:r>
          </w:p>
        </w:tc>
      </w:tr>
    </w:tbl>
    <w:p w:rsidR="000742D8" w:rsidRPr="00DA1F32" w:rsidRDefault="000742D8" w:rsidP="00DA1F32">
      <w:pPr>
        <w:tabs>
          <w:tab w:val="left" w:pos="1688"/>
        </w:tabs>
        <w:spacing w:after="0" w:line="240" w:lineRule="auto"/>
        <w:jc w:val="both"/>
        <w:rPr>
          <w:rFonts w:ascii="Times New Roman" w:hAnsi="Times New Roman" w:cs="Times New Roman"/>
          <w:sz w:val="36"/>
          <w:szCs w:val="36"/>
        </w:rPr>
      </w:pPr>
    </w:p>
    <w:p w:rsidR="00DA1F32" w:rsidRPr="00DA1F32" w:rsidRDefault="00DA1F32" w:rsidP="00DA1F32">
      <w:pPr>
        <w:tabs>
          <w:tab w:val="left" w:pos="1688"/>
        </w:tabs>
        <w:spacing w:after="0" w:line="240" w:lineRule="auto"/>
        <w:jc w:val="both"/>
        <w:rPr>
          <w:rFonts w:ascii="Times New Roman" w:hAnsi="Times New Roman" w:cs="Times New Roman"/>
          <w:sz w:val="36"/>
          <w:szCs w:val="36"/>
        </w:rPr>
      </w:pPr>
    </w:p>
    <w:p w:rsidR="00B86921" w:rsidRDefault="00B86921" w:rsidP="008209ED">
      <w:pPr>
        <w:spacing w:after="0" w:line="240" w:lineRule="auto"/>
        <w:jc w:val="center"/>
        <w:rPr>
          <w:rFonts w:ascii="Times New Roman" w:hAnsi="Times New Roman" w:cs="Times New Roman"/>
          <w:b/>
          <w:sz w:val="36"/>
          <w:szCs w:val="36"/>
        </w:rPr>
      </w:pPr>
    </w:p>
    <w:p w:rsidR="00544AF1" w:rsidRPr="008209ED" w:rsidRDefault="00544AF1" w:rsidP="008209ED">
      <w:pPr>
        <w:spacing w:after="0" w:line="240" w:lineRule="auto"/>
        <w:jc w:val="center"/>
        <w:rPr>
          <w:rFonts w:ascii="Times New Roman" w:hAnsi="Times New Roman" w:cs="Times New Roman"/>
          <w:b/>
          <w:sz w:val="36"/>
          <w:szCs w:val="36"/>
        </w:rPr>
      </w:pPr>
      <w:r w:rsidRPr="008209ED">
        <w:rPr>
          <w:rFonts w:ascii="Times New Roman" w:hAnsi="Times New Roman" w:cs="Times New Roman"/>
          <w:b/>
          <w:sz w:val="36"/>
          <w:szCs w:val="36"/>
        </w:rPr>
        <w:t>О задач</w:t>
      </w:r>
      <w:r w:rsidR="00CD086E">
        <w:rPr>
          <w:rFonts w:ascii="Times New Roman" w:hAnsi="Times New Roman" w:cs="Times New Roman"/>
          <w:b/>
          <w:sz w:val="36"/>
          <w:szCs w:val="36"/>
        </w:rPr>
        <w:t>ах инспекции на 2022 год</w:t>
      </w:r>
      <w:r w:rsidRPr="008209ED">
        <w:rPr>
          <w:rFonts w:ascii="Times New Roman" w:hAnsi="Times New Roman" w:cs="Times New Roman"/>
          <w:b/>
          <w:sz w:val="36"/>
          <w:szCs w:val="36"/>
        </w:rPr>
        <w:t>.</w:t>
      </w:r>
    </w:p>
    <w:p w:rsidR="00F40DDD" w:rsidRDefault="00F40DDD" w:rsidP="00544AF1">
      <w:pPr>
        <w:spacing w:after="0" w:line="240" w:lineRule="auto"/>
        <w:jc w:val="both"/>
        <w:rPr>
          <w:rFonts w:ascii="Times New Roman" w:hAnsi="Times New Roman" w:cs="Times New Roman"/>
          <w:sz w:val="36"/>
          <w:szCs w:val="36"/>
        </w:rPr>
      </w:pPr>
    </w:p>
    <w:p w:rsidR="00443883" w:rsidRDefault="00544AF1" w:rsidP="000742D8">
      <w:pPr>
        <w:spacing w:after="0" w:line="240" w:lineRule="auto"/>
        <w:jc w:val="both"/>
        <w:rPr>
          <w:rFonts w:ascii="Times New Roman" w:hAnsi="Times New Roman" w:cs="Times New Roman"/>
          <w:sz w:val="36"/>
          <w:szCs w:val="36"/>
        </w:rPr>
      </w:pPr>
      <w:r>
        <w:rPr>
          <w:rFonts w:ascii="Times New Roman" w:hAnsi="Times New Roman" w:cs="Times New Roman"/>
          <w:sz w:val="36"/>
          <w:szCs w:val="36"/>
        </w:rPr>
        <w:tab/>
      </w:r>
      <w:r w:rsidR="00CD086E">
        <w:rPr>
          <w:rFonts w:ascii="Times New Roman" w:hAnsi="Times New Roman" w:cs="Times New Roman"/>
          <w:sz w:val="36"/>
          <w:szCs w:val="36"/>
        </w:rPr>
        <w:t xml:space="preserve">Инспекция </w:t>
      </w:r>
      <w:r w:rsidR="00443883">
        <w:rPr>
          <w:rFonts w:ascii="Times New Roman" w:hAnsi="Times New Roman" w:cs="Times New Roman"/>
          <w:sz w:val="36"/>
          <w:szCs w:val="36"/>
        </w:rPr>
        <w:t>со 2-го полугодия прошлого года начал</w:t>
      </w:r>
      <w:r w:rsidR="00CD086E">
        <w:rPr>
          <w:rFonts w:ascii="Times New Roman" w:hAnsi="Times New Roman" w:cs="Times New Roman"/>
          <w:sz w:val="36"/>
          <w:szCs w:val="36"/>
        </w:rPr>
        <w:t>а</w:t>
      </w:r>
      <w:r w:rsidR="00443883">
        <w:rPr>
          <w:rFonts w:ascii="Times New Roman" w:hAnsi="Times New Roman" w:cs="Times New Roman"/>
          <w:sz w:val="36"/>
          <w:szCs w:val="36"/>
        </w:rPr>
        <w:t xml:space="preserve"> работать в рамках нового Федерального закона о конт</w:t>
      </w:r>
      <w:r w:rsidR="00D36E33">
        <w:rPr>
          <w:rFonts w:ascii="Times New Roman" w:hAnsi="Times New Roman" w:cs="Times New Roman"/>
          <w:sz w:val="36"/>
          <w:szCs w:val="36"/>
        </w:rPr>
        <w:t xml:space="preserve">рольно- надзорной деятельности </w:t>
      </w:r>
      <w:r w:rsidR="00443883">
        <w:rPr>
          <w:rFonts w:ascii="Times New Roman" w:hAnsi="Times New Roman" w:cs="Times New Roman"/>
          <w:sz w:val="36"/>
          <w:szCs w:val="36"/>
        </w:rPr>
        <w:t>№ 248-ФЗ, отдельные положения его, которые регулируют оценку результативности и эффективности деятельности</w:t>
      </w:r>
      <w:r w:rsidR="00D36E33">
        <w:rPr>
          <w:rFonts w:ascii="Times New Roman" w:hAnsi="Times New Roman" w:cs="Times New Roman"/>
          <w:sz w:val="36"/>
          <w:szCs w:val="36"/>
        </w:rPr>
        <w:t xml:space="preserve">, </w:t>
      </w:r>
      <w:r w:rsidR="00DC71DA">
        <w:rPr>
          <w:rFonts w:ascii="Times New Roman" w:hAnsi="Times New Roman" w:cs="Times New Roman"/>
          <w:sz w:val="36"/>
          <w:szCs w:val="36"/>
        </w:rPr>
        <w:t xml:space="preserve">вступают в силу с 1 марта текущего года. </w:t>
      </w:r>
    </w:p>
    <w:p w:rsidR="00DC71DA" w:rsidRDefault="00DC71DA" w:rsidP="00DC71DA">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Также с июля месяца вступает</w:t>
      </w:r>
      <w:r w:rsidR="00CD086E">
        <w:rPr>
          <w:rFonts w:ascii="Times New Roman" w:hAnsi="Times New Roman" w:cs="Times New Roman"/>
          <w:sz w:val="36"/>
          <w:szCs w:val="36"/>
        </w:rPr>
        <w:t xml:space="preserve"> в силу новый Федеральный закон</w:t>
      </w:r>
      <w:r>
        <w:rPr>
          <w:rFonts w:ascii="Times New Roman" w:hAnsi="Times New Roman" w:cs="Times New Roman"/>
          <w:sz w:val="36"/>
          <w:szCs w:val="36"/>
        </w:rPr>
        <w:t xml:space="preserve"> «О самоходных машинах и других видов техники», к которому в течении полугодия еще должны </w:t>
      </w:r>
      <w:r w:rsidR="0013108E">
        <w:rPr>
          <w:rFonts w:ascii="Times New Roman" w:hAnsi="Times New Roman" w:cs="Times New Roman"/>
          <w:sz w:val="36"/>
          <w:szCs w:val="36"/>
        </w:rPr>
        <w:t xml:space="preserve">быть </w:t>
      </w:r>
      <w:r>
        <w:rPr>
          <w:rFonts w:ascii="Times New Roman" w:hAnsi="Times New Roman" w:cs="Times New Roman"/>
          <w:sz w:val="36"/>
          <w:szCs w:val="36"/>
        </w:rPr>
        <w:t>прин</w:t>
      </w:r>
      <w:r w:rsidR="00071469">
        <w:rPr>
          <w:rFonts w:ascii="Times New Roman" w:hAnsi="Times New Roman" w:cs="Times New Roman"/>
          <w:sz w:val="36"/>
          <w:szCs w:val="36"/>
        </w:rPr>
        <w:t xml:space="preserve">яты не менее </w:t>
      </w:r>
      <w:r>
        <w:rPr>
          <w:rFonts w:ascii="Times New Roman" w:hAnsi="Times New Roman" w:cs="Times New Roman"/>
          <w:sz w:val="36"/>
          <w:szCs w:val="36"/>
        </w:rPr>
        <w:t>10 различных нормативно-правовых актов РФ</w:t>
      </w:r>
      <w:r w:rsidR="00071469">
        <w:rPr>
          <w:rFonts w:ascii="Times New Roman" w:hAnsi="Times New Roman" w:cs="Times New Roman"/>
          <w:sz w:val="36"/>
          <w:szCs w:val="36"/>
        </w:rPr>
        <w:t>, соответствующих изменений в действующие НПА для</w:t>
      </w:r>
      <w:r w:rsidR="00975CCB">
        <w:rPr>
          <w:rFonts w:ascii="Times New Roman" w:hAnsi="Times New Roman" w:cs="Times New Roman"/>
          <w:sz w:val="36"/>
          <w:szCs w:val="36"/>
        </w:rPr>
        <w:t xml:space="preserve"> реализации </w:t>
      </w:r>
      <w:r>
        <w:rPr>
          <w:rFonts w:ascii="Times New Roman" w:hAnsi="Times New Roman" w:cs="Times New Roman"/>
          <w:sz w:val="36"/>
          <w:szCs w:val="36"/>
        </w:rPr>
        <w:t>данного закона.</w:t>
      </w:r>
    </w:p>
    <w:p w:rsidR="00DC71DA" w:rsidRDefault="00CD086E" w:rsidP="00CD086E">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О</w:t>
      </w:r>
      <w:r w:rsidR="00DC71DA">
        <w:rPr>
          <w:rFonts w:ascii="Times New Roman" w:hAnsi="Times New Roman" w:cs="Times New Roman"/>
          <w:sz w:val="36"/>
          <w:szCs w:val="36"/>
        </w:rPr>
        <w:t xml:space="preserve">дна из главных задач в </w:t>
      </w:r>
      <w:r w:rsidR="00962012">
        <w:rPr>
          <w:rFonts w:ascii="Times New Roman" w:hAnsi="Times New Roman" w:cs="Times New Roman"/>
          <w:sz w:val="36"/>
          <w:szCs w:val="36"/>
        </w:rPr>
        <w:t>20</w:t>
      </w:r>
      <w:r w:rsidR="00DC71DA">
        <w:rPr>
          <w:rFonts w:ascii="Times New Roman" w:hAnsi="Times New Roman" w:cs="Times New Roman"/>
          <w:sz w:val="36"/>
          <w:szCs w:val="36"/>
        </w:rPr>
        <w:t xml:space="preserve">22 году для коллектива инспекции, это на </w:t>
      </w:r>
      <w:r w:rsidR="0013108E" w:rsidRPr="00A4453C">
        <w:rPr>
          <w:rFonts w:ascii="Times New Roman" w:hAnsi="Times New Roman" w:cs="Times New Roman"/>
          <w:sz w:val="36"/>
          <w:szCs w:val="36"/>
        </w:rPr>
        <w:t>марше</w:t>
      </w:r>
      <w:r w:rsidR="0013108E" w:rsidRPr="0013108E">
        <w:rPr>
          <w:rFonts w:ascii="Times New Roman" w:hAnsi="Times New Roman" w:cs="Times New Roman"/>
          <w:color w:val="FF0000"/>
          <w:sz w:val="36"/>
          <w:szCs w:val="36"/>
        </w:rPr>
        <w:t xml:space="preserve"> </w:t>
      </w:r>
      <w:r w:rsidR="000742D8">
        <w:rPr>
          <w:rFonts w:ascii="Times New Roman" w:hAnsi="Times New Roman" w:cs="Times New Roman"/>
          <w:sz w:val="36"/>
          <w:szCs w:val="36"/>
        </w:rPr>
        <w:t>изучить нормативные</w:t>
      </w:r>
      <w:r>
        <w:rPr>
          <w:rFonts w:ascii="Times New Roman" w:hAnsi="Times New Roman" w:cs="Times New Roman"/>
          <w:sz w:val="36"/>
          <w:szCs w:val="36"/>
        </w:rPr>
        <w:t xml:space="preserve"> акты</w:t>
      </w:r>
      <w:r w:rsidR="0013108E">
        <w:rPr>
          <w:rFonts w:ascii="Times New Roman" w:hAnsi="Times New Roman" w:cs="Times New Roman"/>
          <w:sz w:val="36"/>
          <w:szCs w:val="36"/>
        </w:rPr>
        <w:t xml:space="preserve"> и быть готовыми работать в новых требованиях законодательства.</w:t>
      </w:r>
    </w:p>
    <w:p w:rsidR="0013108E" w:rsidRDefault="006935A8" w:rsidP="00DC71DA">
      <w:pPr>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В</w:t>
      </w:r>
      <w:r w:rsidR="00071469">
        <w:rPr>
          <w:rFonts w:ascii="Times New Roman" w:hAnsi="Times New Roman" w:cs="Times New Roman"/>
          <w:sz w:val="36"/>
          <w:szCs w:val="36"/>
        </w:rPr>
        <w:t xml:space="preserve"> этом году </w:t>
      </w:r>
      <w:r>
        <w:rPr>
          <w:rFonts w:ascii="Times New Roman" w:hAnsi="Times New Roman" w:cs="Times New Roman"/>
          <w:sz w:val="36"/>
          <w:szCs w:val="36"/>
        </w:rPr>
        <w:t>инспекции</w:t>
      </w:r>
      <w:r w:rsidR="00071469">
        <w:rPr>
          <w:rFonts w:ascii="Times New Roman" w:hAnsi="Times New Roman" w:cs="Times New Roman"/>
          <w:sz w:val="36"/>
          <w:szCs w:val="36"/>
        </w:rPr>
        <w:t xml:space="preserve"> предстоит </w:t>
      </w:r>
      <w:r w:rsidR="00F80296">
        <w:rPr>
          <w:rFonts w:ascii="Times New Roman" w:hAnsi="Times New Roman" w:cs="Times New Roman"/>
          <w:sz w:val="36"/>
          <w:szCs w:val="36"/>
        </w:rPr>
        <w:t>большая как информационно-разъяснительная, так и практическая надзорная с реги</w:t>
      </w:r>
      <w:r w:rsidR="0094101E">
        <w:rPr>
          <w:rFonts w:ascii="Times New Roman" w:hAnsi="Times New Roman" w:cs="Times New Roman"/>
          <w:sz w:val="36"/>
          <w:szCs w:val="36"/>
        </w:rPr>
        <w:t>страционными действиями работа с аттракционами. Н</w:t>
      </w:r>
      <w:r w:rsidR="00F80296">
        <w:rPr>
          <w:rFonts w:ascii="Times New Roman" w:hAnsi="Times New Roman" w:cs="Times New Roman"/>
          <w:sz w:val="36"/>
          <w:szCs w:val="36"/>
        </w:rPr>
        <w:t xml:space="preserve">аправление деятельности носит общественно-социальный оттенок, </w:t>
      </w:r>
      <w:r w:rsidR="0094101E">
        <w:rPr>
          <w:rFonts w:ascii="Times New Roman" w:hAnsi="Times New Roman" w:cs="Times New Roman"/>
          <w:sz w:val="36"/>
          <w:szCs w:val="36"/>
        </w:rPr>
        <w:t>инспекция обязана</w:t>
      </w:r>
      <w:r w:rsidR="00F80296">
        <w:rPr>
          <w:rFonts w:ascii="Times New Roman" w:hAnsi="Times New Roman" w:cs="Times New Roman"/>
          <w:sz w:val="36"/>
          <w:szCs w:val="36"/>
        </w:rPr>
        <w:t xml:space="preserve"> в текущем году так</w:t>
      </w:r>
      <w:r w:rsidR="00071469">
        <w:rPr>
          <w:rFonts w:ascii="Times New Roman" w:hAnsi="Times New Roman" w:cs="Times New Roman"/>
          <w:sz w:val="36"/>
          <w:szCs w:val="36"/>
        </w:rPr>
        <w:t xml:space="preserve">же </w:t>
      </w:r>
      <w:r w:rsidR="00F80296">
        <w:rPr>
          <w:rFonts w:ascii="Times New Roman" w:hAnsi="Times New Roman" w:cs="Times New Roman"/>
          <w:sz w:val="36"/>
          <w:szCs w:val="36"/>
        </w:rPr>
        <w:t xml:space="preserve">очень </w:t>
      </w:r>
      <w:r w:rsidR="00962012">
        <w:rPr>
          <w:rFonts w:ascii="Times New Roman" w:hAnsi="Times New Roman" w:cs="Times New Roman"/>
          <w:sz w:val="36"/>
          <w:szCs w:val="36"/>
        </w:rPr>
        <w:t>старательно</w:t>
      </w:r>
      <w:r w:rsidR="00F80296">
        <w:rPr>
          <w:rFonts w:ascii="Times New Roman" w:hAnsi="Times New Roman" w:cs="Times New Roman"/>
          <w:sz w:val="36"/>
          <w:szCs w:val="36"/>
        </w:rPr>
        <w:t xml:space="preserve"> проводить возложенные на нас функции.</w:t>
      </w:r>
    </w:p>
    <w:p w:rsidR="00D63B37" w:rsidRDefault="00387AB6" w:rsidP="00387AB6">
      <w:pPr>
        <w:tabs>
          <w:tab w:val="left" w:pos="3120"/>
        </w:tabs>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З</w:t>
      </w:r>
      <w:r w:rsidR="00F80296">
        <w:rPr>
          <w:rFonts w:ascii="Times New Roman" w:hAnsi="Times New Roman" w:cs="Times New Roman"/>
          <w:sz w:val="36"/>
          <w:szCs w:val="36"/>
        </w:rPr>
        <w:t xml:space="preserve">адача в новом году </w:t>
      </w:r>
      <w:r w:rsidR="00962012">
        <w:rPr>
          <w:rFonts w:ascii="Times New Roman" w:hAnsi="Times New Roman" w:cs="Times New Roman"/>
          <w:sz w:val="36"/>
          <w:szCs w:val="36"/>
        </w:rPr>
        <w:t xml:space="preserve">- </w:t>
      </w:r>
      <w:r w:rsidR="00F80296">
        <w:rPr>
          <w:rFonts w:ascii="Times New Roman" w:hAnsi="Times New Roman" w:cs="Times New Roman"/>
          <w:sz w:val="36"/>
          <w:szCs w:val="36"/>
        </w:rPr>
        <w:t>продолжить начатую работу</w:t>
      </w:r>
      <w:r>
        <w:rPr>
          <w:rFonts w:ascii="Times New Roman" w:hAnsi="Times New Roman" w:cs="Times New Roman"/>
          <w:sz w:val="36"/>
          <w:szCs w:val="36"/>
        </w:rPr>
        <w:t xml:space="preserve"> по предоставле</w:t>
      </w:r>
      <w:r w:rsidR="00962012">
        <w:rPr>
          <w:rFonts w:ascii="Times New Roman" w:hAnsi="Times New Roman" w:cs="Times New Roman"/>
          <w:sz w:val="36"/>
          <w:szCs w:val="36"/>
        </w:rPr>
        <w:t xml:space="preserve">нию услуг в электронном формате и </w:t>
      </w:r>
      <w:r w:rsidR="00F80296">
        <w:rPr>
          <w:rFonts w:ascii="Times New Roman" w:hAnsi="Times New Roman" w:cs="Times New Roman"/>
          <w:sz w:val="36"/>
          <w:szCs w:val="36"/>
        </w:rPr>
        <w:t xml:space="preserve">используя наработанный опыт выйти </w:t>
      </w:r>
      <w:r w:rsidR="007369CC">
        <w:rPr>
          <w:rFonts w:ascii="Times New Roman" w:hAnsi="Times New Roman" w:cs="Times New Roman"/>
          <w:sz w:val="36"/>
          <w:szCs w:val="36"/>
        </w:rPr>
        <w:t>на показатель превышающий 3</w:t>
      </w:r>
      <w:r w:rsidR="004A622E">
        <w:rPr>
          <w:rFonts w:ascii="Times New Roman" w:hAnsi="Times New Roman" w:cs="Times New Roman"/>
          <w:sz w:val="36"/>
          <w:szCs w:val="36"/>
        </w:rPr>
        <w:t>6% до</w:t>
      </w:r>
      <w:r w:rsidR="00962012">
        <w:rPr>
          <w:rFonts w:ascii="Times New Roman" w:hAnsi="Times New Roman" w:cs="Times New Roman"/>
          <w:sz w:val="36"/>
          <w:szCs w:val="36"/>
        </w:rPr>
        <w:t>ли предоставления государственных услуг в электронном формате.</w:t>
      </w:r>
    </w:p>
    <w:p w:rsidR="00962012" w:rsidRDefault="00962012" w:rsidP="00387AB6">
      <w:pPr>
        <w:tabs>
          <w:tab w:val="left" w:pos="3120"/>
        </w:tabs>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Одна из основных задач – обеспечение сбора доходов за предоставляемые услуги на уровне, превышающий результат 2021 года.</w:t>
      </w:r>
    </w:p>
    <w:p w:rsidR="00962012" w:rsidRDefault="00962012" w:rsidP="00387AB6">
      <w:pPr>
        <w:tabs>
          <w:tab w:val="left" w:pos="3120"/>
        </w:tabs>
        <w:spacing w:after="0" w:line="240" w:lineRule="auto"/>
        <w:ind w:firstLine="708"/>
        <w:jc w:val="both"/>
        <w:rPr>
          <w:rFonts w:ascii="Times New Roman" w:hAnsi="Times New Roman" w:cs="Times New Roman"/>
          <w:sz w:val="36"/>
          <w:szCs w:val="36"/>
        </w:rPr>
      </w:pPr>
    </w:p>
    <w:p w:rsidR="00071469" w:rsidRDefault="00071469" w:rsidP="00975CCB">
      <w:pPr>
        <w:tabs>
          <w:tab w:val="left" w:pos="3120"/>
        </w:tabs>
        <w:spacing w:after="0" w:line="240" w:lineRule="auto"/>
        <w:jc w:val="both"/>
        <w:rPr>
          <w:rFonts w:ascii="Times New Roman" w:hAnsi="Times New Roman" w:cs="Times New Roman"/>
          <w:sz w:val="36"/>
          <w:szCs w:val="36"/>
        </w:rPr>
      </w:pPr>
    </w:p>
    <w:p w:rsidR="0006691E" w:rsidRDefault="0006691E" w:rsidP="00975CCB">
      <w:pPr>
        <w:tabs>
          <w:tab w:val="left" w:pos="3120"/>
        </w:tabs>
        <w:spacing w:after="0" w:line="240" w:lineRule="auto"/>
        <w:jc w:val="both"/>
        <w:rPr>
          <w:rFonts w:ascii="Times New Roman" w:hAnsi="Times New Roman" w:cs="Times New Roman"/>
          <w:sz w:val="36"/>
          <w:szCs w:val="36"/>
        </w:rPr>
      </w:pPr>
    </w:p>
    <w:p w:rsidR="0006691E" w:rsidRDefault="0006691E" w:rsidP="00975CCB">
      <w:pPr>
        <w:tabs>
          <w:tab w:val="left" w:pos="3120"/>
        </w:tabs>
        <w:spacing w:after="0" w:line="240" w:lineRule="auto"/>
        <w:jc w:val="both"/>
        <w:rPr>
          <w:rFonts w:ascii="Times New Roman" w:hAnsi="Times New Roman" w:cs="Times New Roman"/>
          <w:sz w:val="36"/>
          <w:szCs w:val="36"/>
        </w:rPr>
      </w:pPr>
    </w:p>
    <w:p w:rsidR="00975CCB" w:rsidRDefault="00975CCB" w:rsidP="00975CCB">
      <w:pPr>
        <w:tabs>
          <w:tab w:val="left" w:pos="3120"/>
        </w:tabs>
        <w:spacing w:after="0" w:line="240" w:lineRule="auto"/>
        <w:jc w:val="both"/>
        <w:rPr>
          <w:rFonts w:ascii="Times New Roman" w:hAnsi="Times New Roman" w:cs="Times New Roman"/>
          <w:sz w:val="36"/>
          <w:szCs w:val="36"/>
        </w:rPr>
      </w:pPr>
    </w:p>
    <w:p w:rsidR="008F24F3" w:rsidRDefault="008F24F3" w:rsidP="00975CCB">
      <w:pPr>
        <w:tabs>
          <w:tab w:val="left" w:pos="3120"/>
        </w:tabs>
        <w:spacing w:after="0" w:line="240" w:lineRule="auto"/>
        <w:jc w:val="both"/>
        <w:rPr>
          <w:rFonts w:ascii="Times New Roman" w:hAnsi="Times New Roman" w:cs="Times New Roman"/>
          <w:sz w:val="36"/>
          <w:szCs w:val="36"/>
        </w:rPr>
      </w:pPr>
    </w:p>
    <w:p w:rsidR="008F24F3" w:rsidRDefault="008F24F3" w:rsidP="00071469">
      <w:pPr>
        <w:tabs>
          <w:tab w:val="left" w:pos="3120"/>
          <w:tab w:val="center" w:pos="5031"/>
          <w:tab w:val="left" w:pos="8583"/>
        </w:tabs>
        <w:spacing w:after="0" w:line="240" w:lineRule="auto"/>
        <w:ind w:firstLine="708"/>
        <w:jc w:val="center"/>
        <w:rPr>
          <w:rFonts w:ascii="Times New Roman" w:hAnsi="Times New Roman" w:cs="Times New Roman"/>
          <w:b/>
          <w:sz w:val="36"/>
          <w:szCs w:val="36"/>
        </w:rPr>
        <w:sectPr w:rsidR="008F24F3" w:rsidSect="00722CE8">
          <w:pgSz w:w="11906" w:h="16838"/>
          <w:pgMar w:top="567" w:right="567" w:bottom="567" w:left="567" w:header="709" w:footer="709" w:gutter="0"/>
          <w:cols w:space="708"/>
          <w:docGrid w:linePitch="360"/>
        </w:sectPr>
      </w:pPr>
    </w:p>
    <w:p w:rsidR="00071469" w:rsidRDefault="00867FF4" w:rsidP="001B12D6">
      <w:pPr>
        <w:tabs>
          <w:tab w:val="left" w:pos="3120"/>
          <w:tab w:val="center" w:pos="5031"/>
          <w:tab w:val="left" w:pos="8583"/>
        </w:tabs>
        <w:spacing w:after="0" w:line="240" w:lineRule="auto"/>
        <w:ind w:firstLine="708"/>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lastRenderedPageBreak/>
        <w:t>О</w:t>
      </w:r>
      <w:r w:rsidR="001B12D6">
        <w:rPr>
          <w:rFonts w:ascii="Times New Roman" w:hAnsi="Times New Roman" w:cs="Times New Roman"/>
          <w:b/>
          <w:sz w:val="36"/>
          <w:szCs w:val="36"/>
        </w:rPr>
        <w:t xml:space="preserve"> поощрениях</w:t>
      </w:r>
    </w:p>
    <w:p w:rsidR="001B12D6" w:rsidRPr="00071469" w:rsidRDefault="001B12D6" w:rsidP="001B12D6">
      <w:pPr>
        <w:tabs>
          <w:tab w:val="left" w:pos="3120"/>
          <w:tab w:val="center" w:pos="5031"/>
          <w:tab w:val="left" w:pos="8583"/>
        </w:tabs>
        <w:spacing w:after="0" w:line="240" w:lineRule="auto"/>
        <w:ind w:firstLine="708"/>
        <w:jc w:val="center"/>
        <w:rPr>
          <w:rFonts w:ascii="Times New Roman" w:hAnsi="Times New Roman" w:cs="Times New Roman"/>
          <w:b/>
          <w:sz w:val="36"/>
          <w:szCs w:val="36"/>
        </w:rPr>
      </w:pPr>
    </w:p>
    <w:p w:rsidR="00B335DD" w:rsidRPr="00B335DD" w:rsidRDefault="0006691E" w:rsidP="00B335DD">
      <w:pPr>
        <w:tabs>
          <w:tab w:val="left" w:pos="3120"/>
        </w:tabs>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 xml:space="preserve">За заслуги </w:t>
      </w:r>
      <w:r w:rsidR="00B335DD" w:rsidRPr="00B335DD">
        <w:rPr>
          <w:rFonts w:ascii="Times New Roman" w:hAnsi="Times New Roman" w:cs="Times New Roman"/>
          <w:sz w:val="36"/>
          <w:szCs w:val="36"/>
        </w:rPr>
        <w:t>в осуществлении мер по повышению эффективности деятельности инспекции гостехнадзора Новосибирской области в 2021 году:</w:t>
      </w:r>
    </w:p>
    <w:p w:rsidR="00B335DD" w:rsidRPr="00B335DD" w:rsidRDefault="00B335DD" w:rsidP="00B335DD">
      <w:pPr>
        <w:tabs>
          <w:tab w:val="left" w:pos="3120"/>
        </w:tabs>
        <w:spacing w:after="0" w:line="240" w:lineRule="auto"/>
        <w:ind w:firstLine="708"/>
        <w:jc w:val="both"/>
        <w:rPr>
          <w:rFonts w:ascii="Times New Roman" w:hAnsi="Times New Roman" w:cs="Times New Roman"/>
          <w:b/>
          <w:sz w:val="36"/>
          <w:szCs w:val="36"/>
        </w:rPr>
      </w:pPr>
      <w:r w:rsidRPr="00B335DD">
        <w:rPr>
          <w:rFonts w:ascii="Times New Roman" w:hAnsi="Times New Roman" w:cs="Times New Roman"/>
          <w:sz w:val="36"/>
          <w:szCs w:val="36"/>
        </w:rPr>
        <w:t>-</w:t>
      </w:r>
      <w:r w:rsidRPr="00B335DD">
        <w:rPr>
          <w:rFonts w:ascii="Times New Roman" w:hAnsi="Times New Roman" w:cs="Times New Roman"/>
          <w:b/>
          <w:sz w:val="36"/>
          <w:szCs w:val="36"/>
        </w:rPr>
        <w:t>Курицыну Ивану Михайловичу</w:t>
      </w:r>
      <w:r w:rsidRPr="00B335DD">
        <w:rPr>
          <w:rFonts w:ascii="Times New Roman" w:hAnsi="Times New Roman" w:cs="Times New Roman"/>
          <w:sz w:val="36"/>
          <w:szCs w:val="36"/>
        </w:rPr>
        <w:t xml:space="preserve"> объявлена </w:t>
      </w:r>
      <w:r w:rsidRPr="00B335DD">
        <w:rPr>
          <w:rFonts w:ascii="Times New Roman" w:hAnsi="Times New Roman" w:cs="Times New Roman"/>
          <w:b/>
          <w:sz w:val="36"/>
          <w:szCs w:val="36"/>
        </w:rPr>
        <w:t>Благодарность Министерства сельского хозяйства РФ;</w:t>
      </w:r>
    </w:p>
    <w:p w:rsidR="00B335DD" w:rsidRPr="00B335DD" w:rsidRDefault="00B335DD" w:rsidP="00B335DD">
      <w:pPr>
        <w:tabs>
          <w:tab w:val="left" w:pos="3120"/>
        </w:tabs>
        <w:spacing w:after="0" w:line="240" w:lineRule="auto"/>
        <w:ind w:firstLine="708"/>
        <w:jc w:val="both"/>
        <w:rPr>
          <w:rFonts w:ascii="Times New Roman" w:hAnsi="Times New Roman" w:cs="Times New Roman"/>
          <w:sz w:val="36"/>
          <w:szCs w:val="36"/>
        </w:rPr>
      </w:pPr>
      <w:r>
        <w:rPr>
          <w:rFonts w:ascii="Times New Roman" w:hAnsi="Times New Roman" w:cs="Times New Roman"/>
          <w:sz w:val="36"/>
          <w:szCs w:val="36"/>
        </w:rPr>
        <w:t>-</w:t>
      </w:r>
      <w:r w:rsidRPr="00B335DD">
        <w:rPr>
          <w:rFonts w:ascii="Times New Roman" w:hAnsi="Times New Roman" w:cs="Times New Roman"/>
          <w:b/>
          <w:sz w:val="36"/>
          <w:szCs w:val="36"/>
        </w:rPr>
        <w:t xml:space="preserve">Кайгородов Сергей Фёдорович </w:t>
      </w:r>
      <w:r w:rsidRPr="00B335DD">
        <w:rPr>
          <w:rFonts w:ascii="Times New Roman" w:hAnsi="Times New Roman" w:cs="Times New Roman"/>
          <w:sz w:val="36"/>
          <w:szCs w:val="36"/>
        </w:rPr>
        <w:t>награжден</w:t>
      </w:r>
      <w:r w:rsidRPr="00B335DD">
        <w:rPr>
          <w:rFonts w:ascii="Times New Roman" w:hAnsi="Times New Roman" w:cs="Times New Roman"/>
          <w:b/>
          <w:sz w:val="36"/>
          <w:szCs w:val="36"/>
        </w:rPr>
        <w:t xml:space="preserve"> Почетной грамотой Губернатора НСО;</w:t>
      </w:r>
    </w:p>
    <w:p w:rsidR="0006691E" w:rsidRDefault="00B335DD" w:rsidP="00B335DD">
      <w:pPr>
        <w:tabs>
          <w:tab w:val="left" w:pos="3120"/>
        </w:tabs>
        <w:spacing w:after="0" w:line="240" w:lineRule="auto"/>
        <w:ind w:firstLine="708"/>
        <w:jc w:val="both"/>
        <w:rPr>
          <w:rFonts w:ascii="Times New Roman" w:hAnsi="Times New Roman" w:cs="Times New Roman"/>
          <w:b/>
          <w:sz w:val="36"/>
          <w:szCs w:val="36"/>
        </w:rPr>
      </w:pPr>
      <w:r>
        <w:rPr>
          <w:rFonts w:ascii="Times New Roman" w:hAnsi="Times New Roman" w:cs="Times New Roman"/>
          <w:sz w:val="36"/>
          <w:szCs w:val="36"/>
        </w:rPr>
        <w:t>-</w:t>
      </w:r>
      <w:r w:rsidRPr="00B335DD">
        <w:rPr>
          <w:rFonts w:ascii="Times New Roman" w:hAnsi="Times New Roman" w:cs="Times New Roman"/>
          <w:b/>
          <w:sz w:val="36"/>
          <w:szCs w:val="36"/>
        </w:rPr>
        <w:t>Быкову Александру Григорьевичу</w:t>
      </w:r>
      <w:r w:rsidRPr="00B335DD">
        <w:rPr>
          <w:rFonts w:ascii="Times New Roman" w:hAnsi="Times New Roman" w:cs="Times New Roman"/>
          <w:sz w:val="36"/>
          <w:szCs w:val="36"/>
        </w:rPr>
        <w:t xml:space="preserve"> объявлена </w:t>
      </w:r>
      <w:r w:rsidRPr="00B335DD">
        <w:rPr>
          <w:rFonts w:ascii="Times New Roman" w:hAnsi="Times New Roman" w:cs="Times New Roman"/>
          <w:b/>
          <w:sz w:val="36"/>
          <w:szCs w:val="36"/>
        </w:rPr>
        <w:t>Благодарность Законодательного Собрания НСО.</w:t>
      </w:r>
    </w:p>
    <w:p w:rsidR="00B335DD" w:rsidRDefault="00B335DD" w:rsidP="00B335DD">
      <w:pPr>
        <w:tabs>
          <w:tab w:val="left" w:pos="3120"/>
        </w:tabs>
        <w:spacing w:after="0" w:line="240" w:lineRule="auto"/>
        <w:ind w:firstLine="708"/>
        <w:jc w:val="both"/>
        <w:rPr>
          <w:rFonts w:ascii="Times New Roman" w:hAnsi="Times New Roman" w:cs="Times New Roman"/>
          <w:sz w:val="36"/>
          <w:szCs w:val="36"/>
        </w:rPr>
      </w:pPr>
      <w:r w:rsidRPr="00B335DD">
        <w:rPr>
          <w:rFonts w:ascii="Times New Roman" w:hAnsi="Times New Roman" w:cs="Times New Roman"/>
          <w:sz w:val="36"/>
          <w:szCs w:val="36"/>
        </w:rPr>
        <w:t>За добросовестный труд и высокие професси</w:t>
      </w:r>
      <w:r>
        <w:rPr>
          <w:rFonts w:ascii="Times New Roman" w:hAnsi="Times New Roman" w:cs="Times New Roman"/>
          <w:sz w:val="36"/>
          <w:szCs w:val="36"/>
        </w:rPr>
        <w:t xml:space="preserve">ональные показатели в 2021 году, объявляю </w:t>
      </w:r>
      <w:r w:rsidRPr="00B335DD">
        <w:rPr>
          <w:rFonts w:ascii="Times New Roman" w:hAnsi="Times New Roman" w:cs="Times New Roman"/>
          <w:b/>
          <w:sz w:val="36"/>
          <w:szCs w:val="36"/>
        </w:rPr>
        <w:t>Б</w:t>
      </w:r>
      <w:r>
        <w:rPr>
          <w:rFonts w:ascii="Times New Roman" w:hAnsi="Times New Roman" w:cs="Times New Roman"/>
          <w:b/>
          <w:sz w:val="36"/>
          <w:szCs w:val="36"/>
        </w:rPr>
        <w:t xml:space="preserve">лагодарность </w:t>
      </w:r>
      <w:r w:rsidRPr="00B335DD">
        <w:rPr>
          <w:rFonts w:ascii="Times New Roman" w:hAnsi="Times New Roman" w:cs="Times New Roman"/>
          <w:b/>
          <w:sz w:val="36"/>
          <w:szCs w:val="36"/>
        </w:rPr>
        <w:t>инспекции</w:t>
      </w:r>
      <w:r>
        <w:rPr>
          <w:rFonts w:ascii="Times New Roman" w:hAnsi="Times New Roman" w:cs="Times New Roman"/>
          <w:sz w:val="36"/>
          <w:szCs w:val="36"/>
        </w:rPr>
        <w:t xml:space="preserve"> гостехнадзора Новосибирской области: </w:t>
      </w:r>
    </w:p>
    <w:p w:rsidR="00B335DD" w:rsidRPr="00C733C6" w:rsidRDefault="008F24F3" w:rsidP="008F24F3">
      <w:pPr>
        <w:tabs>
          <w:tab w:val="left" w:pos="3120"/>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Ермакову Станиславу Валерьевичу;</w:t>
      </w:r>
    </w:p>
    <w:p w:rsidR="008F24F3" w:rsidRPr="00C733C6" w:rsidRDefault="008F24F3" w:rsidP="008F24F3">
      <w:pPr>
        <w:tabs>
          <w:tab w:val="left" w:pos="3120"/>
        </w:tabs>
        <w:spacing w:after="0" w:line="240" w:lineRule="auto"/>
        <w:jc w:val="both"/>
        <w:rPr>
          <w:rFonts w:ascii="Times New Roman" w:hAnsi="Times New Roman" w:cs="Times New Roman"/>
          <w:b/>
          <w:sz w:val="36"/>
          <w:szCs w:val="36"/>
        </w:rPr>
      </w:pPr>
      <w:proofErr w:type="spellStart"/>
      <w:r w:rsidRPr="00C733C6">
        <w:rPr>
          <w:rFonts w:ascii="Times New Roman" w:hAnsi="Times New Roman" w:cs="Times New Roman"/>
          <w:b/>
          <w:sz w:val="36"/>
          <w:szCs w:val="36"/>
        </w:rPr>
        <w:t>Кульгавых</w:t>
      </w:r>
      <w:proofErr w:type="spellEnd"/>
      <w:r w:rsidRPr="00C733C6">
        <w:rPr>
          <w:rFonts w:ascii="Times New Roman" w:hAnsi="Times New Roman" w:cs="Times New Roman"/>
          <w:b/>
          <w:sz w:val="36"/>
          <w:szCs w:val="36"/>
        </w:rPr>
        <w:t xml:space="preserve"> Елене Сергеевне;</w:t>
      </w:r>
    </w:p>
    <w:p w:rsidR="008F24F3" w:rsidRPr="00C733C6" w:rsidRDefault="008F24F3" w:rsidP="008F24F3">
      <w:pPr>
        <w:tabs>
          <w:tab w:val="left" w:pos="3120"/>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Мартынову Сергею Викторовичу;</w:t>
      </w:r>
    </w:p>
    <w:p w:rsidR="008F24F3" w:rsidRDefault="008F24F3" w:rsidP="00867FF4">
      <w:pPr>
        <w:tabs>
          <w:tab w:val="left" w:pos="3120"/>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Хмелёву Андрею Васильевичу.</w:t>
      </w:r>
    </w:p>
    <w:p w:rsidR="008F24F3" w:rsidRDefault="00867FF4" w:rsidP="008F24F3">
      <w:pPr>
        <w:tabs>
          <w:tab w:val="left" w:pos="851"/>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ab/>
      </w:r>
      <w:r w:rsidR="008F24F3">
        <w:rPr>
          <w:rFonts w:ascii="Times New Roman" w:hAnsi="Times New Roman" w:cs="Times New Roman"/>
          <w:sz w:val="36"/>
          <w:szCs w:val="36"/>
        </w:rPr>
        <w:t>За выполнение целевых показателей и повышение эффективности деятельности инспекции гостехнадзора Новосибирской области в 2021 году,</w:t>
      </w:r>
    </w:p>
    <w:p w:rsidR="008F24F3" w:rsidRDefault="008F24F3" w:rsidP="008F24F3">
      <w:pPr>
        <w:tabs>
          <w:tab w:val="left" w:pos="851"/>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Награждаю </w:t>
      </w:r>
      <w:r w:rsidRPr="008F24F3">
        <w:rPr>
          <w:rFonts w:ascii="Times New Roman" w:hAnsi="Times New Roman" w:cs="Times New Roman"/>
          <w:b/>
          <w:sz w:val="36"/>
          <w:szCs w:val="36"/>
        </w:rPr>
        <w:t>Почётной грамотой инспекции</w:t>
      </w:r>
      <w:r>
        <w:rPr>
          <w:rFonts w:ascii="Times New Roman" w:hAnsi="Times New Roman" w:cs="Times New Roman"/>
          <w:sz w:val="36"/>
          <w:szCs w:val="36"/>
        </w:rPr>
        <w:t xml:space="preserve"> гостехнадзора Новосибирской области:</w:t>
      </w:r>
    </w:p>
    <w:p w:rsidR="008F24F3" w:rsidRPr="00C733C6" w:rsidRDefault="00C733C6"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Алексееву М</w:t>
      </w:r>
      <w:r w:rsidR="008F24F3" w:rsidRPr="00C733C6">
        <w:rPr>
          <w:rFonts w:ascii="Times New Roman" w:hAnsi="Times New Roman" w:cs="Times New Roman"/>
          <w:b/>
          <w:sz w:val="36"/>
          <w:szCs w:val="36"/>
        </w:rPr>
        <w:t>арину Михайловну;</w:t>
      </w:r>
    </w:p>
    <w:p w:rsidR="008F24F3" w:rsidRPr="00C733C6" w:rsidRDefault="00C733C6"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 xml:space="preserve">Кайгородова </w:t>
      </w:r>
      <w:r w:rsidR="008F24F3" w:rsidRPr="00C733C6">
        <w:rPr>
          <w:rFonts w:ascii="Times New Roman" w:hAnsi="Times New Roman" w:cs="Times New Roman"/>
          <w:b/>
          <w:sz w:val="36"/>
          <w:szCs w:val="36"/>
        </w:rPr>
        <w:t>Сергея Фёдоровича;</w:t>
      </w:r>
    </w:p>
    <w:p w:rsidR="008F24F3" w:rsidRPr="00C733C6" w:rsidRDefault="008F24F3"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Карпова Вячеслава Витальевича;</w:t>
      </w:r>
    </w:p>
    <w:p w:rsidR="008F24F3" w:rsidRPr="00C733C6" w:rsidRDefault="008F24F3"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Кравченко Сергея Анатольевича;</w:t>
      </w:r>
    </w:p>
    <w:p w:rsidR="008F24F3" w:rsidRPr="00C733C6" w:rsidRDefault="008F24F3" w:rsidP="008F24F3">
      <w:pPr>
        <w:tabs>
          <w:tab w:val="left" w:pos="851"/>
        </w:tabs>
        <w:spacing w:after="0" w:line="240" w:lineRule="auto"/>
        <w:jc w:val="both"/>
        <w:rPr>
          <w:rFonts w:ascii="Times New Roman" w:hAnsi="Times New Roman" w:cs="Times New Roman"/>
          <w:b/>
          <w:sz w:val="36"/>
          <w:szCs w:val="36"/>
        </w:rPr>
      </w:pPr>
      <w:proofErr w:type="spellStart"/>
      <w:r w:rsidRPr="00C733C6">
        <w:rPr>
          <w:rFonts w:ascii="Times New Roman" w:hAnsi="Times New Roman" w:cs="Times New Roman"/>
          <w:b/>
          <w:sz w:val="36"/>
          <w:szCs w:val="36"/>
        </w:rPr>
        <w:t>Пергаеву</w:t>
      </w:r>
      <w:proofErr w:type="spellEnd"/>
      <w:r w:rsidRPr="00C733C6">
        <w:rPr>
          <w:rFonts w:ascii="Times New Roman" w:hAnsi="Times New Roman" w:cs="Times New Roman"/>
          <w:b/>
          <w:sz w:val="36"/>
          <w:szCs w:val="36"/>
        </w:rPr>
        <w:t xml:space="preserve"> Наталью Владимировну;</w:t>
      </w:r>
    </w:p>
    <w:p w:rsidR="008F24F3" w:rsidRPr="00C733C6" w:rsidRDefault="008F24F3"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Пономаренко Ю</w:t>
      </w:r>
      <w:r w:rsidR="00C733C6" w:rsidRPr="00C733C6">
        <w:rPr>
          <w:rFonts w:ascii="Times New Roman" w:hAnsi="Times New Roman" w:cs="Times New Roman"/>
          <w:b/>
          <w:sz w:val="36"/>
          <w:szCs w:val="36"/>
        </w:rPr>
        <w:t>лию Сергеевну;</w:t>
      </w:r>
    </w:p>
    <w:p w:rsidR="00C733C6" w:rsidRPr="00C733C6" w:rsidRDefault="00C733C6" w:rsidP="008F24F3">
      <w:pPr>
        <w:tabs>
          <w:tab w:val="left" w:pos="851"/>
        </w:tabs>
        <w:spacing w:after="0" w:line="240" w:lineRule="auto"/>
        <w:jc w:val="both"/>
        <w:rPr>
          <w:rFonts w:ascii="Times New Roman" w:hAnsi="Times New Roman" w:cs="Times New Roman"/>
          <w:b/>
          <w:sz w:val="36"/>
          <w:szCs w:val="36"/>
        </w:rPr>
      </w:pPr>
      <w:proofErr w:type="spellStart"/>
      <w:r w:rsidRPr="00C733C6">
        <w:rPr>
          <w:rFonts w:ascii="Times New Roman" w:hAnsi="Times New Roman" w:cs="Times New Roman"/>
          <w:b/>
          <w:sz w:val="36"/>
          <w:szCs w:val="36"/>
        </w:rPr>
        <w:t>Пургина</w:t>
      </w:r>
      <w:proofErr w:type="spellEnd"/>
      <w:r w:rsidRPr="00C733C6">
        <w:rPr>
          <w:rFonts w:ascii="Times New Roman" w:hAnsi="Times New Roman" w:cs="Times New Roman"/>
          <w:b/>
          <w:sz w:val="36"/>
          <w:szCs w:val="36"/>
        </w:rPr>
        <w:t xml:space="preserve"> Сергея Андреевича;</w:t>
      </w:r>
    </w:p>
    <w:p w:rsidR="00C733C6" w:rsidRPr="00C733C6" w:rsidRDefault="00C733C6"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Сазонова Сергея Анатольевича;</w:t>
      </w:r>
    </w:p>
    <w:p w:rsidR="00C733C6" w:rsidRPr="00C733C6" w:rsidRDefault="00C733C6" w:rsidP="008F24F3">
      <w:pPr>
        <w:tabs>
          <w:tab w:val="left" w:pos="851"/>
        </w:tabs>
        <w:spacing w:after="0" w:line="240" w:lineRule="auto"/>
        <w:jc w:val="both"/>
        <w:rPr>
          <w:rFonts w:ascii="Times New Roman" w:hAnsi="Times New Roman" w:cs="Times New Roman"/>
          <w:b/>
          <w:sz w:val="36"/>
          <w:szCs w:val="36"/>
        </w:rPr>
      </w:pPr>
      <w:proofErr w:type="spellStart"/>
      <w:r w:rsidRPr="00C733C6">
        <w:rPr>
          <w:rFonts w:ascii="Times New Roman" w:hAnsi="Times New Roman" w:cs="Times New Roman"/>
          <w:b/>
          <w:sz w:val="36"/>
          <w:szCs w:val="36"/>
        </w:rPr>
        <w:t>Ситохину</w:t>
      </w:r>
      <w:proofErr w:type="spellEnd"/>
      <w:r w:rsidRPr="00C733C6">
        <w:rPr>
          <w:rFonts w:ascii="Times New Roman" w:hAnsi="Times New Roman" w:cs="Times New Roman"/>
          <w:b/>
          <w:sz w:val="36"/>
          <w:szCs w:val="36"/>
        </w:rPr>
        <w:t xml:space="preserve"> Ирину Анатольевну;</w:t>
      </w:r>
    </w:p>
    <w:p w:rsidR="00C733C6" w:rsidRPr="00C733C6" w:rsidRDefault="00C733C6" w:rsidP="008F24F3">
      <w:pPr>
        <w:tabs>
          <w:tab w:val="left" w:pos="851"/>
        </w:tabs>
        <w:spacing w:after="0" w:line="240" w:lineRule="auto"/>
        <w:jc w:val="both"/>
        <w:rPr>
          <w:rFonts w:ascii="Times New Roman" w:hAnsi="Times New Roman" w:cs="Times New Roman"/>
          <w:b/>
          <w:sz w:val="36"/>
          <w:szCs w:val="36"/>
        </w:rPr>
      </w:pPr>
      <w:r w:rsidRPr="00C733C6">
        <w:rPr>
          <w:rFonts w:ascii="Times New Roman" w:hAnsi="Times New Roman" w:cs="Times New Roman"/>
          <w:b/>
          <w:sz w:val="36"/>
          <w:szCs w:val="36"/>
        </w:rPr>
        <w:t>Цыплакова Александра Сергеевича</w:t>
      </w:r>
    </w:p>
    <w:p w:rsidR="00975CCB" w:rsidRPr="00C20410" w:rsidRDefault="00975CCB" w:rsidP="00C20410">
      <w:pPr>
        <w:tabs>
          <w:tab w:val="left" w:pos="851"/>
        </w:tabs>
        <w:spacing w:after="0" w:line="240" w:lineRule="auto"/>
        <w:jc w:val="both"/>
        <w:rPr>
          <w:rFonts w:ascii="Times New Roman" w:hAnsi="Times New Roman" w:cs="Times New Roman"/>
          <w:sz w:val="36"/>
          <w:szCs w:val="36"/>
        </w:rPr>
      </w:pPr>
    </w:p>
    <w:sectPr w:rsidR="00975CCB" w:rsidRPr="00C20410" w:rsidSect="00975CC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F6"/>
    <w:rsid w:val="00061A14"/>
    <w:rsid w:val="0006691E"/>
    <w:rsid w:val="00071469"/>
    <w:rsid w:val="000742D8"/>
    <w:rsid w:val="000A0E84"/>
    <w:rsid w:val="000C0F6C"/>
    <w:rsid w:val="00100BAC"/>
    <w:rsid w:val="0013108E"/>
    <w:rsid w:val="00133685"/>
    <w:rsid w:val="001469D9"/>
    <w:rsid w:val="0015798A"/>
    <w:rsid w:val="00176A07"/>
    <w:rsid w:val="001A27B9"/>
    <w:rsid w:val="001B12D6"/>
    <w:rsid w:val="001D7BFA"/>
    <w:rsid w:val="001F67E2"/>
    <w:rsid w:val="0022672D"/>
    <w:rsid w:val="0025017B"/>
    <w:rsid w:val="00255FE1"/>
    <w:rsid w:val="00275F22"/>
    <w:rsid w:val="00280CE8"/>
    <w:rsid w:val="00282F44"/>
    <w:rsid w:val="0028670B"/>
    <w:rsid w:val="002A297F"/>
    <w:rsid w:val="002C57D4"/>
    <w:rsid w:val="002D2186"/>
    <w:rsid w:val="00311D67"/>
    <w:rsid w:val="0034784D"/>
    <w:rsid w:val="00371C02"/>
    <w:rsid w:val="00385E9E"/>
    <w:rsid w:val="00387AB6"/>
    <w:rsid w:val="00390121"/>
    <w:rsid w:val="003B1118"/>
    <w:rsid w:val="003E012C"/>
    <w:rsid w:val="003E2375"/>
    <w:rsid w:val="003E3B3C"/>
    <w:rsid w:val="004218EE"/>
    <w:rsid w:val="00443883"/>
    <w:rsid w:val="00465899"/>
    <w:rsid w:val="004866F6"/>
    <w:rsid w:val="004924A8"/>
    <w:rsid w:val="004A622E"/>
    <w:rsid w:val="004B4520"/>
    <w:rsid w:val="00515A34"/>
    <w:rsid w:val="00544AF1"/>
    <w:rsid w:val="0059325C"/>
    <w:rsid w:val="00594C5E"/>
    <w:rsid w:val="005E4078"/>
    <w:rsid w:val="005E4E07"/>
    <w:rsid w:val="005F63F2"/>
    <w:rsid w:val="006363A4"/>
    <w:rsid w:val="006620A5"/>
    <w:rsid w:val="00663912"/>
    <w:rsid w:val="006935A8"/>
    <w:rsid w:val="00707437"/>
    <w:rsid w:val="00722CE8"/>
    <w:rsid w:val="007303BA"/>
    <w:rsid w:val="007369CC"/>
    <w:rsid w:val="00742132"/>
    <w:rsid w:val="00770C32"/>
    <w:rsid w:val="007A734E"/>
    <w:rsid w:val="007B39B2"/>
    <w:rsid w:val="007B441E"/>
    <w:rsid w:val="007D763D"/>
    <w:rsid w:val="008209ED"/>
    <w:rsid w:val="008440E3"/>
    <w:rsid w:val="00867FF4"/>
    <w:rsid w:val="00881388"/>
    <w:rsid w:val="008B442B"/>
    <w:rsid w:val="008E1B2B"/>
    <w:rsid w:val="008F24F3"/>
    <w:rsid w:val="0091289B"/>
    <w:rsid w:val="00915A15"/>
    <w:rsid w:val="0094101E"/>
    <w:rsid w:val="00946AA1"/>
    <w:rsid w:val="00962012"/>
    <w:rsid w:val="00975CCB"/>
    <w:rsid w:val="009849B2"/>
    <w:rsid w:val="009F00B3"/>
    <w:rsid w:val="009F43E5"/>
    <w:rsid w:val="00A17372"/>
    <w:rsid w:val="00A32BFE"/>
    <w:rsid w:val="00A4453C"/>
    <w:rsid w:val="00A61687"/>
    <w:rsid w:val="00A86F57"/>
    <w:rsid w:val="00AE7C43"/>
    <w:rsid w:val="00B07746"/>
    <w:rsid w:val="00B21B4A"/>
    <w:rsid w:val="00B335DD"/>
    <w:rsid w:val="00B34AF7"/>
    <w:rsid w:val="00B82656"/>
    <w:rsid w:val="00B86921"/>
    <w:rsid w:val="00BC19B6"/>
    <w:rsid w:val="00BF6072"/>
    <w:rsid w:val="00C20410"/>
    <w:rsid w:val="00C36B12"/>
    <w:rsid w:val="00C67BF0"/>
    <w:rsid w:val="00C733C6"/>
    <w:rsid w:val="00CB3F1B"/>
    <w:rsid w:val="00CD086E"/>
    <w:rsid w:val="00D14D9B"/>
    <w:rsid w:val="00D27C51"/>
    <w:rsid w:val="00D36E33"/>
    <w:rsid w:val="00D427B8"/>
    <w:rsid w:val="00D63B37"/>
    <w:rsid w:val="00D7700F"/>
    <w:rsid w:val="00D9004B"/>
    <w:rsid w:val="00DA1F32"/>
    <w:rsid w:val="00DC71DA"/>
    <w:rsid w:val="00E77B61"/>
    <w:rsid w:val="00F23761"/>
    <w:rsid w:val="00F40DDD"/>
    <w:rsid w:val="00F80296"/>
    <w:rsid w:val="00FC1738"/>
    <w:rsid w:val="00FF1681"/>
    <w:rsid w:val="00FF45E8"/>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0563"/>
  <w15:chartTrackingRefBased/>
  <w15:docId w15:val="{00B9ABF5-B44E-4ED1-BC21-2D1E7275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B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B3C"/>
    <w:rPr>
      <w:rFonts w:ascii="Segoe UI" w:hAnsi="Segoe UI" w:cs="Segoe UI"/>
      <w:sz w:val="18"/>
      <w:szCs w:val="18"/>
    </w:rPr>
  </w:style>
  <w:style w:type="table" w:styleId="a5">
    <w:name w:val="Table Grid"/>
    <w:basedOn w:val="a1"/>
    <w:uiPriority w:val="39"/>
    <w:rsid w:val="008B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1389">
      <w:bodyDiv w:val="1"/>
      <w:marLeft w:val="0"/>
      <w:marRight w:val="0"/>
      <w:marTop w:val="0"/>
      <w:marBottom w:val="0"/>
      <w:divBdr>
        <w:top w:val="none" w:sz="0" w:space="0" w:color="auto"/>
        <w:left w:val="none" w:sz="0" w:space="0" w:color="auto"/>
        <w:bottom w:val="none" w:sz="0" w:space="0" w:color="auto"/>
        <w:right w:val="none" w:sz="0" w:space="0" w:color="auto"/>
      </w:divBdr>
    </w:div>
    <w:div w:id="9188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9758284764054324E-2"/>
          <c:y val="0.17538231615568922"/>
          <c:w val="0.91060747345125848"/>
          <c:h val="0.7377011285947026"/>
        </c:manualLayout>
      </c:layout>
      <c:barChart>
        <c:barDir val="col"/>
        <c:grouping val="clustered"/>
        <c:varyColors val="0"/>
        <c:ser>
          <c:idx val="0"/>
          <c:order val="0"/>
          <c:tx>
            <c:strRef>
              <c:f>Лист1!$B$1</c:f>
              <c:strCache>
                <c:ptCount val="1"/>
                <c:pt idx="0">
                  <c:v>2011</c:v>
                </c:pt>
              </c:strCache>
            </c:strRef>
          </c:tx>
          <c:spPr>
            <a:solidFill>
              <a:schemeClr val="accent1">
                <a:shade val="41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28559</c:v>
                </c:pt>
              </c:numCache>
            </c:numRef>
          </c:val>
          <c:extLst>
            <c:ext xmlns:c16="http://schemas.microsoft.com/office/drawing/2014/chart" uri="{C3380CC4-5D6E-409C-BE32-E72D297353CC}">
              <c16:uniqueId val="{00000000-9A97-49EE-9977-259DD61C9FBA}"/>
            </c:ext>
          </c:extLst>
        </c:ser>
        <c:ser>
          <c:idx val="1"/>
          <c:order val="1"/>
          <c:tx>
            <c:strRef>
              <c:f>Лист1!$C$1</c:f>
              <c:strCache>
                <c:ptCount val="1"/>
                <c:pt idx="0">
                  <c:v>2012</c:v>
                </c:pt>
              </c:strCache>
            </c:strRef>
          </c:tx>
          <c:spPr>
            <a:solidFill>
              <a:schemeClr val="accent1">
                <a:shade val="53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31796</c:v>
                </c:pt>
              </c:numCache>
            </c:numRef>
          </c:val>
          <c:extLst>
            <c:ext xmlns:c16="http://schemas.microsoft.com/office/drawing/2014/chart" uri="{C3380CC4-5D6E-409C-BE32-E72D297353CC}">
              <c16:uniqueId val="{00000001-9A97-49EE-9977-259DD61C9FBA}"/>
            </c:ext>
          </c:extLst>
        </c:ser>
        <c:ser>
          <c:idx val="2"/>
          <c:order val="2"/>
          <c:tx>
            <c:strRef>
              <c:f>Лист1!$D$1</c:f>
              <c:strCache>
                <c:ptCount val="1"/>
                <c:pt idx="0">
                  <c:v>2013</c:v>
                </c:pt>
              </c:strCache>
            </c:strRef>
          </c:tx>
          <c:spPr>
            <a:solidFill>
              <a:schemeClr val="accent1">
                <a:shade val="65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35089</c:v>
                </c:pt>
              </c:numCache>
            </c:numRef>
          </c:val>
          <c:extLst>
            <c:ext xmlns:c16="http://schemas.microsoft.com/office/drawing/2014/chart" uri="{C3380CC4-5D6E-409C-BE32-E72D297353CC}">
              <c16:uniqueId val="{00000002-9A97-49EE-9977-259DD61C9FBA}"/>
            </c:ext>
          </c:extLst>
        </c:ser>
        <c:ser>
          <c:idx val="3"/>
          <c:order val="3"/>
          <c:tx>
            <c:strRef>
              <c:f>Лист1!$E$1</c:f>
              <c:strCache>
                <c:ptCount val="1"/>
                <c:pt idx="0">
                  <c:v>2014</c:v>
                </c:pt>
              </c:strCache>
            </c:strRef>
          </c:tx>
          <c:spPr>
            <a:solidFill>
              <a:schemeClr val="accent1">
                <a:shade val="76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General</c:formatCode>
                <c:ptCount val="1"/>
                <c:pt idx="0">
                  <c:v>38454</c:v>
                </c:pt>
              </c:numCache>
            </c:numRef>
          </c:val>
          <c:extLst>
            <c:ext xmlns:c16="http://schemas.microsoft.com/office/drawing/2014/chart" uri="{C3380CC4-5D6E-409C-BE32-E72D297353CC}">
              <c16:uniqueId val="{00000003-9A97-49EE-9977-259DD61C9FBA}"/>
            </c:ext>
          </c:extLst>
        </c:ser>
        <c:ser>
          <c:idx val="4"/>
          <c:order val="4"/>
          <c:tx>
            <c:strRef>
              <c:f>Лист1!$F$1</c:f>
              <c:strCache>
                <c:ptCount val="1"/>
                <c:pt idx="0">
                  <c:v>2015</c:v>
                </c:pt>
              </c:strCache>
            </c:strRef>
          </c:tx>
          <c:spPr>
            <a:solidFill>
              <a:schemeClr val="accent1">
                <a:shade val="88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Лист1!$F$2</c:f>
              <c:numCache>
                <c:formatCode>#,##0</c:formatCode>
                <c:ptCount val="1"/>
                <c:pt idx="0">
                  <c:v>41877</c:v>
                </c:pt>
              </c:numCache>
            </c:numRef>
          </c:val>
          <c:extLst>
            <c:ext xmlns:c16="http://schemas.microsoft.com/office/drawing/2014/chart" uri="{C3380CC4-5D6E-409C-BE32-E72D297353CC}">
              <c16:uniqueId val="{00000004-9A97-49EE-9977-259DD61C9FBA}"/>
            </c:ext>
          </c:extLst>
        </c:ser>
        <c:ser>
          <c:idx val="5"/>
          <c:order val="5"/>
          <c:tx>
            <c:strRef>
              <c:f>Лист1!$G$1</c:f>
              <c:strCache>
                <c:ptCount val="1"/>
                <c:pt idx="0">
                  <c:v>2016</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Лист1!$G$2</c:f>
              <c:numCache>
                <c:formatCode>General</c:formatCode>
                <c:ptCount val="1"/>
                <c:pt idx="0">
                  <c:v>45048</c:v>
                </c:pt>
              </c:numCache>
            </c:numRef>
          </c:val>
          <c:extLst>
            <c:ext xmlns:c16="http://schemas.microsoft.com/office/drawing/2014/chart" uri="{C3380CC4-5D6E-409C-BE32-E72D297353CC}">
              <c16:uniqueId val="{00000005-9A97-49EE-9977-259DD61C9FBA}"/>
            </c:ext>
          </c:extLst>
        </c:ser>
        <c:ser>
          <c:idx val="6"/>
          <c:order val="6"/>
          <c:tx>
            <c:strRef>
              <c:f>Лист1!$H$1</c:f>
              <c:strCache>
                <c:ptCount val="1"/>
                <c:pt idx="0">
                  <c:v>2017</c:v>
                </c:pt>
              </c:strCache>
            </c:strRef>
          </c:tx>
          <c:spPr>
            <a:solidFill>
              <a:schemeClr val="accent1">
                <a:tint val="89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Лист1!$H$2</c:f>
              <c:numCache>
                <c:formatCode>General</c:formatCode>
                <c:ptCount val="1"/>
                <c:pt idx="0">
                  <c:v>48398</c:v>
                </c:pt>
              </c:numCache>
            </c:numRef>
          </c:val>
          <c:extLst>
            <c:ext xmlns:c16="http://schemas.microsoft.com/office/drawing/2014/chart" uri="{C3380CC4-5D6E-409C-BE32-E72D297353CC}">
              <c16:uniqueId val="{00000006-9A97-49EE-9977-259DD61C9FBA}"/>
            </c:ext>
          </c:extLst>
        </c:ser>
        <c:ser>
          <c:idx val="7"/>
          <c:order val="7"/>
          <c:tx>
            <c:strRef>
              <c:f>Лист1!$I$1</c:f>
              <c:strCache>
                <c:ptCount val="1"/>
                <c:pt idx="0">
                  <c:v>2018</c:v>
                </c:pt>
              </c:strCache>
            </c:strRef>
          </c:tx>
          <c:spPr>
            <a:solidFill>
              <a:schemeClr val="accent1">
                <a:tint val="77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Лист1!$I$2</c:f>
              <c:numCache>
                <c:formatCode>General</c:formatCode>
                <c:ptCount val="1"/>
                <c:pt idx="0">
                  <c:v>51755</c:v>
                </c:pt>
              </c:numCache>
            </c:numRef>
          </c:val>
          <c:extLst>
            <c:ext xmlns:c16="http://schemas.microsoft.com/office/drawing/2014/chart" uri="{C3380CC4-5D6E-409C-BE32-E72D297353CC}">
              <c16:uniqueId val="{00000007-9A97-49EE-9977-259DD61C9FBA}"/>
            </c:ext>
          </c:extLst>
        </c:ser>
        <c:ser>
          <c:idx val="8"/>
          <c:order val="8"/>
          <c:tx>
            <c:strRef>
              <c:f>Лист1!$J$1</c:f>
              <c:strCache>
                <c:ptCount val="1"/>
                <c:pt idx="0">
                  <c:v>2019</c:v>
                </c:pt>
              </c:strCache>
            </c:strRef>
          </c:tx>
          <c:spPr>
            <a:solidFill>
              <a:schemeClr val="accent1">
                <a:tint val="65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Лист1!$J$2</c:f>
              <c:numCache>
                <c:formatCode>General</c:formatCode>
                <c:ptCount val="1"/>
                <c:pt idx="0">
                  <c:v>55703</c:v>
                </c:pt>
              </c:numCache>
            </c:numRef>
          </c:val>
          <c:extLst>
            <c:ext xmlns:c16="http://schemas.microsoft.com/office/drawing/2014/chart" uri="{C3380CC4-5D6E-409C-BE32-E72D297353CC}">
              <c16:uniqueId val="{00000008-9A97-49EE-9977-259DD61C9FBA}"/>
            </c:ext>
          </c:extLst>
        </c:ser>
        <c:ser>
          <c:idx val="9"/>
          <c:order val="9"/>
          <c:tx>
            <c:strRef>
              <c:f>Лист1!$K$1</c:f>
              <c:strCache>
                <c:ptCount val="1"/>
                <c:pt idx="0">
                  <c:v>2020</c:v>
                </c:pt>
              </c:strCache>
            </c:strRef>
          </c:tx>
          <c:spPr>
            <a:solidFill>
              <a:schemeClr val="accent1">
                <a:tint val="54000"/>
              </a:schemeClr>
            </a:solidFill>
            <a:ln>
              <a:noFill/>
            </a:ln>
            <a:effectLst/>
          </c:spPr>
          <c:invertIfNegative val="0"/>
          <c:dLbls>
            <c:spPr>
              <a:noFill/>
              <a:ln>
                <a:noFill/>
              </a:ln>
              <a:effectLst/>
            </c:spPr>
            <c:txPr>
              <a:bodyPr wrap="square" lIns="38100" tIns="19050" rIns="38100" bIns="19050" anchor="ctr">
                <a:spAutoFit/>
              </a:bodyPr>
              <a:lstStyle/>
              <a:p>
                <a:pPr>
                  <a:defRPr sz="140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Лист1!$K$2</c:f>
              <c:numCache>
                <c:formatCode>General</c:formatCode>
                <c:ptCount val="1"/>
                <c:pt idx="0">
                  <c:v>60477</c:v>
                </c:pt>
              </c:numCache>
            </c:numRef>
          </c:val>
          <c:extLst>
            <c:ext xmlns:c16="http://schemas.microsoft.com/office/drawing/2014/chart" uri="{C3380CC4-5D6E-409C-BE32-E72D297353CC}">
              <c16:uniqueId val="{00000009-9A97-49EE-9977-259DD61C9FBA}"/>
            </c:ext>
          </c:extLst>
        </c:ser>
        <c:ser>
          <c:idx val="10"/>
          <c:order val="10"/>
          <c:tx>
            <c:strRef>
              <c:f>Лист1!$L$1</c:f>
              <c:strCache>
                <c:ptCount val="1"/>
                <c:pt idx="0">
                  <c:v>2021</c:v>
                </c:pt>
              </c:strCache>
            </c:strRef>
          </c:tx>
          <c:spPr>
            <a:solidFill>
              <a:schemeClr val="accent1">
                <a:tint val="42000"/>
              </a:schemeClr>
            </a:solidFill>
            <a:ln>
              <a:noFill/>
            </a:ln>
            <a:effectLst/>
          </c:spPr>
          <c:invertIfNegative val="0"/>
          <c:dLbls>
            <c:dLbl>
              <c:idx val="0"/>
              <c:layout>
                <c:manualLayout>
                  <c:x val="-1.1075598188696344E-16"/>
                  <c:y val="-1.76140661031398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97-49EE-9977-259DD61C9FBA}"/>
                </c:ext>
              </c:extLst>
            </c:dLbl>
            <c:spPr>
              <a:noFill/>
              <a:ln>
                <a:noFill/>
              </a:ln>
              <a:effectLst/>
            </c:spPr>
            <c:txPr>
              <a:bodyPr wrap="square" lIns="38100" tIns="19050" rIns="38100" bIns="19050" anchor="ctr">
                <a:spAutoFit/>
              </a:bodyPr>
              <a:lstStyle/>
              <a:p>
                <a:pPr>
                  <a:defRPr sz="1600" b="0">
                    <a:solidFill>
                      <a:srgbClr val="002060"/>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Категория 1</c:v>
                </c:pt>
              </c:strCache>
            </c:strRef>
          </c:cat>
          <c:val>
            <c:numRef>
              <c:f>Лист1!$L$2</c:f>
              <c:numCache>
                <c:formatCode>General</c:formatCode>
                <c:ptCount val="1"/>
                <c:pt idx="0">
                  <c:v>60719</c:v>
                </c:pt>
              </c:numCache>
            </c:numRef>
          </c:val>
          <c:extLst>
            <c:ext xmlns:c16="http://schemas.microsoft.com/office/drawing/2014/chart" uri="{C3380CC4-5D6E-409C-BE32-E72D297353CC}">
              <c16:uniqueId val="{0000000B-9A97-49EE-9977-259DD61C9FBA}"/>
            </c:ext>
          </c:extLst>
        </c:ser>
        <c:dLbls>
          <c:dLblPos val="outEnd"/>
          <c:showLegendKey val="0"/>
          <c:showVal val="1"/>
          <c:showCatName val="0"/>
          <c:showSerName val="0"/>
          <c:showPercent val="0"/>
          <c:showBubbleSize val="0"/>
        </c:dLbls>
        <c:gapWidth val="219"/>
        <c:overlap val="-27"/>
        <c:axId val="806924720"/>
        <c:axId val="806928048"/>
      </c:barChart>
      <c:catAx>
        <c:axId val="806924720"/>
        <c:scaling>
          <c:orientation val="minMax"/>
        </c:scaling>
        <c:delete val="1"/>
        <c:axPos val="b"/>
        <c:numFmt formatCode="General" sourceLinked="1"/>
        <c:majorTickMark val="none"/>
        <c:minorTickMark val="none"/>
        <c:tickLblPos val="nextTo"/>
        <c:crossAx val="806928048"/>
        <c:crosses val="autoZero"/>
        <c:auto val="1"/>
        <c:lblAlgn val="ctr"/>
        <c:lblOffset val="100"/>
        <c:noMultiLvlLbl val="0"/>
      </c:catAx>
      <c:valAx>
        <c:axId val="80692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rgbClr val="002060"/>
                </a:solidFill>
                <a:latin typeface="Bahnschrift Condensed" panose="020B0502040204020203" pitchFamily="34" charset="0"/>
                <a:ea typeface="+mn-ea"/>
                <a:cs typeface="+mn-cs"/>
              </a:defRPr>
            </a:pPr>
            <a:endParaRPr lang="ru-RU"/>
          </a:p>
        </c:txPr>
        <c:crossAx val="806924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rgbClr val="002060"/>
                </a:solidFill>
                <a:latin typeface="Bahnschrift Light SemiCondensed" panose="020B0502040204020203" pitchFamily="34" charset="0"/>
                <a:ea typeface="+mn-ea"/>
                <a:cs typeface="+mn-cs"/>
              </a:defRPr>
            </a:pPr>
            <a:endParaRPr lang="ru-RU"/>
          </a:p>
        </c:txPr>
      </c:legendEntry>
      <c:legendEntry>
        <c:idx val="1"/>
        <c:txPr>
          <a:bodyPr rot="0" spcFirstLastPara="1" vertOverflow="ellipsis" vert="horz" wrap="square" anchor="ctr" anchorCtr="1"/>
          <a:lstStyle/>
          <a:p>
            <a:pPr>
              <a:defRPr sz="1400" b="0" i="0" u="none" strike="noStrike" kern="1200" baseline="0">
                <a:solidFill>
                  <a:srgbClr val="002060"/>
                </a:solidFill>
                <a:latin typeface="Bahnschrift Light SemiCondensed" panose="020B0502040204020203" pitchFamily="34" charset="0"/>
                <a:ea typeface="+mn-ea"/>
                <a:cs typeface="+mn-cs"/>
              </a:defRPr>
            </a:pPr>
            <a:endParaRPr lang="ru-RU"/>
          </a:p>
        </c:txPr>
      </c:legendEntry>
      <c:layout>
        <c:manualLayout>
          <c:xMode val="edge"/>
          <c:yMode val="edge"/>
          <c:x val="0.12501482082000254"/>
          <c:y val="0.91245377656056315"/>
          <c:w val="0.79644821204124883"/>
          <c:h val="4.894352588296863E-2"/>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Bahnschrift Light SemiCondensed" panose="020B0502040204020203"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rgbClr val="00206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Лист1!$A$2:$A$32</c:f>
              <c:strCache>
                <c:ptCount val="31"/>
                <c:pt idx="0">
                  <c:v>Колыванский: </c:v>
                </c:pt>
                <c:pt idx="1">
                  <c:v>Кочковский: </c:v>
                </c:pt>
                <c:pt idx="2">
                  <c:v>Сузунский: </c:v>
                </c:pt>
                <c:pt idx="3">
                  <c:v>Чановский: </c:v>
                </c:pt>
                <c:pt idx="4">
                  <c:v>Черепановский: </c:v>
                </c:pt>
                <c:pt idx="5">
                  <c:v>Куйбышевский:</c:v>
                </c:pt>
                <c:pt idx="6">
                  <c:v>Коченевский:</c:v>
                </c:pt>
                <c:pt idx="7">
                  <c:v>Маслянинский:</c:v>
                </c:pt>
                <c:pt idx="8">
                  <c:v>Тогучинский:</c:v>
                </c:pt>
                <c:pt idx="9">
                  <c:v>Новосибирск</c:v>
                </c:pt>
                <c:pt idx="10">
                  <c:v>Барабинский: </c:v>
                </c:pt>
                <c:pt idx="11">
                  <c:v>Искитимский: </c:v>
                </c:pt>
                <c:pt idx="12">
                  <c:v>Новосибирский: </c:v>
                </c:pt>
                <c:pt idx="13">
                  <c:v>Кыштовский: </c:v>
                </c:pt>
                <c:pt idx="14">
                  <c:v>Чулымский: </c:v>
                </c:pt>
                <c:pt idx="15">
                  <c:v>Венгеровский: </c:v>
                </c:pt>
                <c:pt idx="16">
                  <c:v>Доволенский:</c:v>
                </c:pt>
                <c:pt idx="17">
                  <c:v>Здвинский: </c:v>
                </c:pt>
                <c:pt idx="18">
                  <c:v>Болотинский: </c:v>
                </c:pt>
                <c:pt idx="19">
                  <c:v>Убинский: </c:v>
                </c:pt>
                <c:pt idx="20">
                  <c:v>Ордынский: </c:v>
                </c:pt>
                <c:pt idx="21">
                  <c:v>Каргатский: </c:v>
                </c:pt>
                <c:pt idx="22">
                  <c:v>Баганский:</c:v>
                </c:pt>
                <c:pt idx="23">
                  <c:v>Купинский:</c:v>
                </c:pt>
                <c:pt idx="24">
                  <c:v>Мошковский: </c:v>
                </c:pt>
                <c:pt idx="25">
                  <c:v>Краснозерский: </c:v>
                </c:pt>
                <c:pt idx="26">
                  <c:v>Чистоозерный:</c:v>
                </c:pt>
                <c:pt idx="27">
                  <c:v>Татарский:</c:v>
                </c:pt>
                <c:pt idx="28">
                  <c:v>Северный: </c:v>
                </c:pt>
                <c:pt idx="29">
                  <c:v>Карасукский: </c:v>
                </c:pt>
                <c:pt idx="30">
                  <c:v>Усть-Тарский: </c:v>
                </c:pt>
              </c:strCache>
            </c:strRef>
          </c:cat>
          <c:val>
            <c:numRef>
              <c:f>Лист1!$B$2:$B$32</c:f>
              <c:numCache>
                <c:formatCode>0%</c:formatCode>
                <c:ptCount val="31"/>
                <c:pt idx="0">
                  <c:v>0.17387944358578053</c:v>
                </c:pt>
                <c:pt idx="1">
                  <c:v>0.18731820826061663</c:v>
                </c:pt>
                <c:pt idx="2">
                  <c:v>0.20190779014308427</c:v>
                </c:pt>
                <c:pt idx="3">
                  <c:v>0.21140684410646388</c:v>
                </c:pt>
                <c:pt idx="4">
                  <c:v>0.22273567467652494</c:v>
                </c:pt>
                <c:pt idx="5">
                  <c:v>0.22366710013003901</c:v>
                </c:pt>
                <c:pt idx="6">
                  <c:v>0.22645617855198694</c:v>
                </c:pt>
                <c:pt idx="7">
                  <c:v>0.23006993006993007</c:v>
                </c:pt>
                <c:pt idx="8">
                  <c:v>0.24444444444444444</c:v>
                </c:pt>
                <c:pt idx="9">
                  <c:v>0.26247260538868117</c:v>
                </c:pt>
                <c:pt idx="10">
                  <c:v>0.26361867704280156</c:v>
                </c:pt>
                <c:pt idx="11">
                  <c:v>0.2752941176470588</c:v>
                </c:pt>
                <c:pt idx="12">
                  <c:v>0.28221512247071351</c:v>
                </c:pt>
                <c:pt idx="13">
                  <c:v>0.29150823827629913</c:v>
                </c:pt>
                <c:pt idx="14">
                  <c:v>0.29166666666666669</c:v>
                </c:pt>
                <c:pt idx="15">
                  <c:v>0.29385687143761874</c:v>
                </c:pt>
                <c:pt idx="16">
                  <c:v>0.29589041095890412</c:v>
                </c:pt>
                <c:pt idx="17">
                  <c:v>0.31680867544539115</c:v>
                </c:pt>
                <c:pt idx="18">
                  <c:v>0.32284921369102682</c:v>
                </c:pt>
                <c:pt idx="19">
                  <c:v>0.35816164817749602</c:v>
                </c:pt>
                <c:pt idx="20">
                  <c:v>0.36196911196911197</c:v>
                </c:pt>
                <c:pt idx="21">
                  <c:v>0.36903602726387535</c:v>
                </c:pt>
                <c:pt idx="22">
                  <c:v>0.38317757009345793</c:v>
                </c:pt>
                <c:pt idx="23">
                  <c:v>0.38949843260188088</c:v>
                </c:pt>
                <c:pt idx="24">
                  <c:v>0.41055045871559631</c:v>
                </c:pt>
                <c:pt idx="25">
                  <c:v>0.4167150319210679</c:v>
                </c:pt>
                <c:pt idx="26">
                  <c:v>0.43644544431946009</c:v>
                </c:pt>
                <c:pt idx="27">
                  <c:v>0.44747081712062259</c:v>
                </c:pt>
                <c:pt idx="28">
                  <c:v>0.46030330062444247</c:v>
                </c:pt>
                <c:pt idx="29">
                  <c:v>0.47105471847739888</c:v>
                </c:pt>
                <c:pt idx="30">
                  <c:v>0.47923322683706071</c:v>
                </c:pt>
              </c:numCache>
            </c:numRef>
          </c:val>
          <c:extLst>
            <c:ext xmlns:c16="http://schemas.microsoft.com/office/drawing/2014/chart" uri="{C3380CC4-5D6E-409C-BE32-E72D297353CC}">
              <c16:uniqueId val="{00000000-3FF0-4F82-BA2E-11F316F2B970}"/>
            </c:ext>
          </c:extLst>
        </c:ser>
        <c:dLbls>
          <c:dLblPos val="outEnd"/>
          <c:showLegendKey val="0"/>
          <c:showVal val="1"/>
          <c:showCatName val="0"/>
          <c:showSerName val="0"/>
          <c:showPercent val="0"/>
          <c:showBubbleSize val="0"/>
        </c:dLbls>
        <c:gapWidth val="182"/>
        <c:axId val="835177135"/>
        <c:axId val="828727343"/>
      </c:barChart>
      <c:catAx>
        <c:axId val="83517713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rgbClr val="002060"/>
                </a:solidFill>
                <a:latin typeface="+mn-lt"/>
                <a:ea typeface="+mn-ea"/>
                <a:cs typeface="+mn-cs"/>
              </a:defRPr>
            </a:pPr>
            <a:endParaRPr lang="ru-RU"/>
          </a:p>
        </c:txPr>
        <c:crossAx val="828727343"/>
        <c:crosses val="autoZero"/>
        <c:auto val="1"/>
        <c:lblAlgn val="ctr"/>
        <c:lblOffset val="100"/>
        <c:noMultiLvlLbl val="0"/>
      </c:catAx>
      <c:valAx>
        <c:axId val="8287273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rgbClr val="FF0000"/>
                </a:solidFill>
                <a:latin typeface="+mn-lt"/>
                <a:ea typeface="+mn-ea"/>
                <a:cs typeface="+mn-cs"/>
              </a:defRPr>
            </a:pPr>
            <a:endParaRPr lang="ru-RU"/>
          </a:p>
        </c:txPr>
        <c:crossAx val="835177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D1B6-515D-4878-92AF-CD46A2F8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I5</cp:lastModifiedBy>
  <cp:revision>2</cp:revision>
  <cp:lastPrinted>2022-02-01T08:27:00Z</cp:lastPrinted>
  <dcterms:created xsi:type="dcterms:W3CDTF">2022-02-03T02:25:00Z</dcterms:created>
  <dcterms:modified xsi:type="dcterms:W3CDTF">2022-02-03T02:25:00Z</dcterms:modified>
</cp:coreProperties>
</file>